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3652"/>
        <w:gridCol w:w="1134"/>
        <w:gridCol w:w="709"/>
        <w:gridCol w:w="3559"/>
      </w:tblGrid>
      <w:tr w:rsidR="007D52DD" w:rsidRPr="00080CCB" w:rsidTr="007E7852">
        <w:trPr>
          <w:jc w:val="center"/>
        </w:trPr>
        <w:tc>
          <w:tcPr>
            <w:tcW w:w="9054" w:type="dxa"/>
            <w:gridSpan w:val="4"/>
            <w:shd w:val="clear" w:color="auto" w:fill="2F5496" w:themeFill="accent5" w:themeFillShade="BF"/>
            <w:vAlign w:val="center"/>
          </w:tcPr>
          <w:p w:rsidR="007D52DD" w:rsidRPr="00410A0A" w:rsidRDefault="007D52DD" w:rsidP="00E43B92">
            <w:pPr>
              <w:tabs>
                <w:tab w:val="left" w:pos="6765"/>
              </w:tabs>
              <w:spacing w:before="240" w:after="240"/>
              <w:jc w:val="center"/>
              <w:rPr>
                <w:rFonts w:asciiTheme="minorHAnsi" w:hAnsiTheme="minorHAnsi" w:cs="Arial"/>
                <w:color w:val="FFFFFF" w:themeColor="background1"/>
                <w:szCs w:val="22"/>
              </w:rPr>
            </w:pPr>
            <w:r w:rsidRPr="00410A0A">
              <w:rPr>
                <w:rFonts w:asciiTheme="minorHAnsi" w:eastAsiaTheme="minorHAnsi" w:hAnsiTheme="minorHAnsi" w:cs="Arial"/>
                <w:b/>
                <w:bCs/>
                <w:color w:val="FFFFFF" w:themeColor="background1"/>
                <w:szCs w:val="22"/>
                <w:lang w:val="es-EC"/>
              </w:rPr>
              <w:t>FICHA METODOLÓGICA</w:t>
            </w:r>
          </w:p>
        </w:tc>
      </w:tr>
      <w:tr w:rsidR="001E61E6" w:rsidRPr="00080CCB" w:rsidTr="00546ACE">
        <w:trPr>
          <w:jc w:val="center"/>
        </w:trPr>
        <w:tc>
          <w:tcPr>
            <w:tcW w:w="4786" w:type="dxa"/>
            <w:gridSpan w:val="2"/>
            <w:shd w:val="clear" w:color="auto" w:fill="DBE5F1"/>
            <w:vAlign w:val="center"/>
          </w:tcPr>
          <w:p w:rsidR="007D52DD" w:rsidRPr="00BB0EEC" w:rsidRDefault="00E05929" w:rsidP="009036BF">
            <w:pPr>
              <w:spacing w:before="60" w:after="60"/>
              <w:jc w:val="both"/>
              <w:rPr>
                <w:rFonts w:asciiTheme="minorHAnsi" w:hAnsiTheme="minorHAnsi" w:cs="Arial"/>
                <w:szCs w:val="22"/>
                <w:highlight w:val="cyan"/>
              </w:rPr>
            </w:pPr>
            <w:r w:rsidRPr="000B3A7F">
              <w:rPr>
                <w:rFonts w:asciiTheme="minorHAnsi" w:eastAsiaTheme="minorHAnsi" w:hAnsiTheme="minorHAnsi" w:cs="Arial"/>
                <w:b/>
                <w:bCs/>
                <w:color w:val="000000"/>
                <w:szCs w:val="22"/>
                <w:lang w:val="es-EC"/>
              </w:rPr>
              <w:t>1.</w:t>
            </w:r>
            <w:r w:rsidR="007D52DD" w:rsidRPr="000B3A7F">
              <w:rPr>
                <w:rFonts w:asciiTheme="minorHAnsi" w:eastAsiaTheme="minorHAnsi" w:hAnsiTheme="minorHAnsi" w:cs="Arial"/>
                <w:b/>
                <w:bCs/>
                <w:color w:val="000000"/>
                <w:szCs w:val="22"/>
                <w:lang w:val="es-EC"/>
              </w:rPr>
              <w:t>NOMBRE DEL INDICADOR</w:t>
            </w:r>
          </w:p>
        </w:tc>
        <w:tc>
          <w:tcPr>
            <w:tcW w:w="4268" w:type="dxa"/>
            <w:gridSpan w:val="2"/>
            <w:vAlign w:val="center"/>
          </w:tcPr>
          <w:p w:rsidR="007D52DD" w:rsidRPr="00BB0EEC" w:rsidRDefault="000B3A7F" w:rsidP="009036BF">
            <w:pPr>
              <w:ind w:left="360"/>
              <w:jc w:val="both"/>
              <w:rPr>
                <w:rFonts w:asciiTheme="minorHAnsi" w:hAnsiTheme="minorHAnsi" w:cs="Arial"/>
                <w:b/>
                <w:szCs w:val="22"/>
                <w:highlight w:val="cyan"/>
              </w:rPr>
            </w:pPr>
            <w:r w:rsidRPr="00546ACE">
              <w:rPr>
                <w:rFonts w:ascii="Century Gothic" w:hAnsi="Century Gothic"/>
                <w:b/>
                <w:sz w:val="18"/>
              </w:rPr>
              <w:t>III.1 Cuenta de capital</w:t>
            </w:r>
          </w:p>
        </w:tc>
      </w:tr>
      <w:tr w:rsidR="001C1D16" w:rsidRPr="00080CCB" w:rsidTr="007E7852">
        <w:trPr>
          <w:jc w:val="center"/>
        </w:trPr>
        <w:tc>
          <w:tcPr>
            <w:tcW w:w="9054" w:type="dxa"/>
            <w:gridSpan w:val="4"/>
            <w:shd w:val="clear" w:color="auto" w:fill="DBE5F1"/>
            <w:vAlign w:val="center"/>
          </w:tcPr>
          <w:p w:rsidR="001C1D16"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2</w:t>
            </w:r>
            <w:r w:rsidR="00080CCB" w:rsidRPr="00410A0A">
              <w:rPr>
                <w:rFonts w:asciiTheme="minorHAnsi" w:eastAsiaTheme="minorHAnsi" w:hAnsiTheme="minorHAnsi" w:cs="Arial"/>
                <w:b/>
                <w:bCs/>
                <w:color w:val="000000"/>
                <w:szCs w:val="22"/>
                <w:lang w:val="es-EC"/>
              </w:rPr>
              <w:t xml:space="preserve">. </w:t>
            </w:r>
            <w:r w:rsidR="001C1D16" w:rsidRPr="00410A0A">
              <w:rPr>
                <w:rFonts w:asciiTheme="minorHAnsi" w:eastAsiaTheme="minorHAnsi" w:hAnsiTheme="minorHAnsi" w:cs="Arial"/>
                <w:b/>
                <w:bCs/>
                <w:color w:val="000000"/>
                <w:szCs w:val="22"/>
                <w:lang w:val="es-EC"/>
              </w:rPr>
              <w:t>DEFINICIÓN</w:t>
            </w:r>
          </w:p>
        </w:tc>
      </w:tr>
      <w:tr w:rsidR="001C1D16" w:rsidRPr="00080CCB" w:rsidTr="006E11AE">
        <w:trPr>
          <w:jc w:val="center"/>
        </w:trPr>
        <w:tc>
          <w:tcPr>
            <w:tcW w:w="9054" w:type="dxa"/>
            <w:gridSpan w:val="4"/>
            <w:shd w:val="clear" w:color="auto" w:fill="FFFFFF" w:themeFill="background1"/>
            <w:vAlign w:val="center"/>
          </w:tcPr>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lang w:val="es-EC"/>
              </w:rPr>
              <w:t>La cuenta de capital es la primera de las cuatro cuentas</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dedicadas a las variaciones de valor de los activos que</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 xml:space="preserve">poseen las unidades institucionales. </w:t>
            </w:r>
            <w:r w:rsidRPr="006E11AE">
              <w:rPr>
                <w:rFonts w:asciiTheme="minorHAnsi" w:eastAsiaTheme="minorHAnsi" w:hAnsiTheme="minorHAnsi" w:cs="Arial"/>
                <w:bCs/>
                <w:color w:val="000000"/>
                <w:szCs w:val="22"/>
                <w:shd w:val="clear" w:color="auto" w:fill="FFFFFF" w:themeFill="background1"/>
                <w:lang w:val="es-EC"/>
              </w:rPr>
              <w:t xml:space="preserve">Registra las transacciones de activos no financieros. </w:t>
            </w:r>
          </w:p>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shd w:val="clear" w:color="auto" w:fill="FFFFFF" w:themeFill="background1"/>
                <w:lang w:val="es-EC"/>
              </w:rPr>
              <w:t xml:space="preserve">La cuenta financiera registra las transacciones de los activos financieros y pasivos. Las cuentas de otras variaciones en el volumen de activos registran las variaciones tanto en el valor de activos no financieros como de los financieros que no son resultado ni de transacciones ni de variaciones de precios. </w:t>
            </w:r>
          </w:p>
          <w:p w:rsidR="00F13702" w:rsidRDefault="006E11AE" w:rsidP="00F13702">
            <w:pPr>
              <w:spacing w:before="120" w:after="120"/>
              <w:jc w:val="both"/>
              <w:rPr>
                <w:rFonts w:asciiTheme="minorHAnsi" w:eastAsiaTheme="minorHAnsi" w:hAnsiTheme="minorHAnsi" w:cs="Arial"/>
                <w:b/>
                <w:bCs/>
                <w:color w:val="000000"/>
                <w:szCs w:val="22"/>
                <w:lang w:val="es-EC"/>
              </w:rPr>
            </w:pPr>
            <w:r w:rsidRPr="006E11AE">
              <w:rPr>
                <w:rFonts w:asciiTheme="minorHAnsi" w:eastAsiaTheme="minorHAnsi" w:hAnsiTheme="minorHAnsi" w:cs="Arial"/>
                <w:bCs/>
                <w:color w:val="000000"/>
                <w:szCs w:val="22"/>
                <w:shd w:val="clear" w:color="auto" w:fill="FFFFFF" w:themeFill="background1"/>
                <w:lang w:val="es-EC"/>
              </w:rPr>
              <w:t>Los efectos de las variaciones de precios se registran en la cuenta de revalorización. Estas cuatro cuentas permiten descomponer la variación del valor neto de una unidad o sector institucional, entre el comienzo y final del período contable, en sus elementos constitutivos, registrando todos los cambios de precios y de volumen de los activos, sean o no el resultado de transacciones</w:t>
            </w:r>
            <w:r w:rsidR="00A74FDC">
              <w:rPr>
                <w:rFonts w:asciiTheme="minorHAnsi" w:eastAsiaTheme="minorHAnsi" w:hAnsiTheme="minorHAnsi" w:cs="Arial"/>
                <w:bCs/>
                <w:color w:val="000000"/>
                <w:szCs w:val="22"/>
                <w:shd w:val="clear" w:color="auto" w:fill="FFFFFF" w:themeFill="background1"/>
                <w:lang w:val="es-EC"/>
              </w:rPr>
              <w:t>.</w:t>
            </w:r>
            <w:r w:rsidR="004D6B36">
              <w:rPr>
                <w:rFonts w:asciiTheme="minorHAnsi" w:eastAsiaTheme="minorHAnsi" w:hAnsiTheme="minorHAnsi" w:cs="Arial"/>
                <w:bCs/>
                <w:color w:val="000000"/>
                <w:szCs w:val="22"/>
                <w:shd w:val="clear" w:color="auto" w:fill="FFFFFF" w:themeFill="background1"/>
                <w:lang w:val="es-EC"/>
              </w:rPr>
              <w:t xml:space="preserve"> (SCN 2008, 10)</w:t>
            </w:r>
            <w:r w:rsidRPr="006E11AE">
              <w:rPr>
                <w:rFonts w:asciiTheme="minorHAnsi" w:eastAsiaTheme="minorHAnsi" w:hAnsiTheme="minorHAnsi" w:cs="Arial"/>
                <w:b/>
                <w:bCs/>
                <w:color w:val="000000"/>
                <w:szCs w:val="22"/>
                <w:lang w:val="es-EC"/>
              </w:rPr>
              <w:t xml:space="preserve"> </w:t>
            </w:r>
          </w:p>
          <w:p w:rsidR="00F13702" w:rsidRPr="00410A0A" w:rsidRDefault="00F13702" w:rsidP="00F13702">
            <w:pPr>
              <w:spacing w:before="120" w:after="120"/>
              <w:jc w:val="both"/>
              <w:rPr>
                <w:rFonts w:asciiTheme="minorHAnsi" w:eastAsiaTheme="minorHAnsi" w:hAnsiTheme="minorHAnsi" w:cs="Arial"/>
                <w:b/>
                <w:bCs/>
                <w:color w:val="000000"/>
                <w:szCs w:val="22"/>
                <w:lang w:val="es-EC"/>
              </w:rPr>
            </w:pPr>
          </w:p>
        </w:tc>
      </w:tr>
      <w:tr w:rsidR="009C0A42" w:rsidRPr="00080CCB" w:rsidTr="007E7852">
        <w:trPr>
          <w:jc w:val="center"/>
        </w:trPr>
        <w:tc>
          <w:tcPr>
            <w:tcW w:w="9054" w:type="dxa"/>
            <w:gridSpan w:val="4"/>
            <w:shd w:val="clear" w:color="auto" w:fill="DBE5F1"/>
            <w:vAlign w:val="center"/>
          </w:tcPr>
          <w:p w:rsidR="009C0A42" w:rsidRPr="00410A0A" w:rsidRDefault="00991196"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3. ESTRUCTURA DE LA CUENTA</w:t>
            </w:r>
          </w:p>
        </w:tc>
      </w:tr>
      <w:tr w:rsidR="009C0A42" w:rsidRPr="00080CCB" w:rsidTr="007E7852">
        <w:trPr>
          <w:jc w:val="center"/>
        </w:trPr>
        <w:tc>
          <w:tcPr>
            <w:tcW w:w="9054" w:type="dxa"/>
            <w:gridSpan w:val="4"/>
            <w:shd w:val="clear" w:color="auto" w:fill="auto"/>
            <w:vAlign w:val="center"/>
          </w:tcPr>
          <w:tbl>
            <w:tblPr>
              <w:tblW w:w="8838" w:type="dxa"/>
              <w:tblCellMar>
                <w:left w:w="70" w:type="dxa"/>
                <w:right w:w="70" w:type="dxa"/>
              </w:tblCellMar>
              <w:tblLook w:val="04A0" w:firstRow="1" w:lastRow="0" w:firstColumn="1" w:lastColumn="0" w:noHBand="0" w:noVBand="1"/>
            </w:tblPr>
            <w:tblGrid>
              <w:gridCol w:w="566"/>
              <w:gridCol w:w="2864"/>
              <w:gridCol w:w="973"/>
              <w:gridCol w:w="559"/>
              <w:gridCol w:w="2903"/>
              <w:gridCol w:w="973"/>
            </w:tblGrid>
            <w:tr w:rsidR="00F13702" w:rsidRPr="000B3A7F" w:rsidTr="00F5743D">
              <w:trPr>
                <w:trHeight w:val="300"/>
              </w:trPr>
              <w:tc>
                <w:tcPr>
                  <w:tcW w:w="566" w:type="dxa"/>
                  <w:tcBorders>
                    <w:top w:val="single" w:sz="4" w:space="0" w:color="auto"/>
                    <w:left w:val="nil"/>
                    <w:bottom w:val="single" w:sz="4" w:space="0" w:color="auto"/>
                    <w:right w:val="nil"/>
                  </w:tcBorders>
                  <w:shd w:val="clear" w:color="auto" w:fill="auto"/>
                  <w:noWrap/>
                  <w:vAlign w:val="center"/>
                  <w:hideMark/>
                </w:tcPr>
                <w:p w:rsidR="00F13702" w:rsidRPr="000B3A7F" w:rsidRDefault="00F13702" w:rsidP="00F5743D">
                  <w:pPr>
                    <w:jc w:val="center"/>
                    <w:rPr>
                      <w:rFonts w:ascii="Calibri" w:hAnsi="Calibri" w:cs="Calibri"/>
                      <w:sz w:val="18"/>
                      <w:szCs w:val="18"/>
                      <w:lang w:val="es-EC" w:eastAsia="es-EC"/>
                    </w:rPr>
                  </w:pPr>
                  <w:r w:rsidRPr="000B3A7F">
                    <w:rPr>
                      <w:rFonts w:ascii="Calibri" w:hAnsi="Calibri" w:cs="Calibri"/>
                      <w:sz w:val="18"/>
                      <w:szCs w:val="18"/>
                      <w:lang w:val="es-EC" w:eastAsia="es-EC"/>
                    </w:rPr>
                    <w:t> </w:t>
                  </w:r>
                </w:p>
              </w:tc>
              <w:tc>
                <w:tcPr>
                  <w:tcW w:w="2864" w:type="dxa"/>
                  <w:tcBorders>
                    <w:top w:val="single" w:sz="4" w:space="0" w:color="auto"/>
                    <w:left w:val="nil"/>
                    <w:bottom w:val="single" w:sz="4" w:space="0" w:color="auto"/>
                    <w:right w:val="nil"/>
                  </w:tcBorders>
                  <w:shd w:val="clear" w:color="auto" w:fill="auto"/>
                  <w:noWrap/>
                  <w:vAlign w:val="center"/>
                  <w:hideMark/>
                </w:tcPr>
                <w:p w:rsidR="00F13702" w:rsidRPr="000B3A7F" w:rsidRDefault="00F13702" w:rsidP="00F5743D">
                  <w:pPr>
                    <w:jc w:val="center"/>
                    <w:rPr>
                      <w:rFonts w:ascii="Calibri" w:hAnsi="Calibri" w:cs="Calibri"/>
                      <w:sz w:val="18"/>
                      <w:szCs w:val="18"/>
                      <w:lang w:val="es-EC" w:eastAsia="es-EC"/>
                    </w:rPr>
                  </w:pPr>
                  <w:r w:rsidRPr="000B3A7F">
                    <w:rPr>
                      <w:rFonts w:ascii="Calibri" w:hAnsi="Calibri" w:cs="Calibri"/>
                      <w:sz w:val="18"/>
                      <w:szCs w:val="18"/>
                      <w:lang w:val="es-EC" w:eastAsia="es-EC"/>
                    </w:rPr>
                    <w:t>Variación de activos</w:t>
                  </w:r>
                </w:p>
              </w:tc>
              <w:tc>
                <w:tcPr>
                  <w:tcW w:w="973" w:type="dxa"/>
                  <w:tcBorders>
                    <w:top w:val="single" w:sz="4" w:space="0" w:color="auto"/>
                    <w:left w:val="nil"/>
                    <w:bottom w:val="single" w:sz="4" w:space="0" w:color="auto"/>
                    <w:right w:val="nil"/>
                  </w:tcBorders>
                  <w:shd w:val="clear" w:color="auto" w:fill="auto"/>
                  <w:noWrap/>
                  <w:vAlign w:val="center"/>
                  <w:hideMark/>
                </w:tcPr>
                <w:p w:rsidR="00F13702" w:rsidRPr="000B3A7F" w:rsidRDefault="00F13702" w:rsidP="00F5743D">
                  <w:pPr>
                    <w:jc w:val="center"/>
                    <w:rPr>
                      <w:rFonts w:ascii="Calibri" w:hAnsi="Calibri" w:cs="Calibri"/>
                      <w:sz w:val="18"/>
                      <w:szCs w:val="18"/>
                      <w:lang w:val="es-EC" w:eastAsia="es-EC"/>
                    </w:rPr>
                  </w:pPr>
                  <w:r w:rsidRPr="000B3A7F">
                    <w:rPr>
                      <w:rFonts w:ascii="Calibri" w:hAnsi="Calibri" w:cs="Calibri"/>
                      <w:sz w:val="18"/>
                      <w:szCs w:val="18"/>
                      <w:lang w:val="es-EC" w:eastAsia="es-EC"/>
                    </w:rPr>
                    <w:t>Total</w:t>
                  </w:r>
                </w:p>
              </w:tc>
              <w:tc>
                <w:tcPr>
                  <w:tcW w:w="559" w:type="dxa"/>
                  <w:tcBorders>
                    <w:top w:val="single" w:sz="4" w:space="0" w:color="auto"/>
                    <w:left w:val="nil"/>
                    <w:bottom w:val="single" w:sz="4" w:space="0" w:color="auto"/>
                    <w:right w:val="nil"/>
                  </w:tcBorders>
                  <w:shd w:val="clear" w:color="auto" w:fill="auto"/>
                  <w:noWrap/>
                  <w:vAlign w:val="center"/>
                  <w:hideMark/>
                </w:tcPr>
                <w:p w:rsidR="00F13702" w:rsidRPr="000B3A7F" w:rsidRDefault="00F13702" w:rsidP="00F5743D">
                  <w:pPr>
                    <w:jc w:val="center"/>
                    <w:rPr>
                      <w:rFonts w:ascii="Calibri" w:hAnsi="Calibri" w:cs="Calibri"/>
                      <w:sz w:val="18"/>
                      <w:szCs w:val="18"/>
                      <w:lang w:val="es-EC" w:eastAsia="es-EC"/>
                    </w:rPr>
                  </w:pPr>
                  <w:r w:rsidRPr="000B3A7F">
                    <w:rPr>
                      <w:rFonts w:ascii="Calibri" w:hAnsi="Calibri" w:cs="Calibri"/>
                      <w:sz w:val="18"/>
                      <w:szCs w:val="18"/>
                      <w:lang w:val="es-EC" w:eastAsia="es-EC"/>
                    </w:rPr>
                    <w:t> </w:t>
                  </w:r>
                </w:p>
              </w:tc>
              <w:tc>
                <w:tcPr>
                  <w:tcW w:w="2903" w:type="dxa"/>
                  <w:tcBorders>
                    <w:top w:val="single" w:sz="4" w:space="0" w:color="auto"/>
                    <w:left w:val="nil"/>
                    <w:bottom w:val="single" w:sz="4" w:space="0" w:color="auto"/>
                    <w:right w:val="nil"/>
                  </w:tcBorders>
                  <w:shd w:val="clear" w:color="auto" w:fill="auto"/>
                  <w:noWrap/>
                  <w:vAlign w:val="center"/>
                  <w:hideMark/>
                </w:tcPr>
                <w:p w:rsidR="00F13702" w:rsidRPr="000B3A7F" w:rsidRDefault="00F13702" w:rsidP="00F5743D">
                  <w:pPr>
                    <w:jc w:val="center"/>
                    <w:rPr>
                      <w:rFonts w:ascii="Calibri" w:hAnsi="Calibri" w:cs="Calibri"/>
                      <w:sz w:val="18"/>
                      <w:szCs w:val="18"/>
                      <w:lang w:val="es-EC" w:eastAsia="es-EC"/>
                    </w:rPr>
                  </w:pPr>
                  <w:r w:rsidRPr="000B3A7F">
                    <w:rPr>
                      <w:rFonts w:ascii="Calibri" w:hAnsi="Calibri" w:cs="Calibri"/>
                      <w:sz w:val="18"/>
                      <w:szCs w:val="18"/>
                      <w:lang w:val="es-EC" w:eastAsia="es-EC"/>
                    </w:rPr>
                    <w:t>Variación de pasivos</w:t>
                  </w:r>
                </w:p>
              </w:tc>
              <w:tc>
                <w:tcPr>
                  <w:tcW w:w="973" w:type="dxa"/>
                  <w:tcBorders>
                    <w:top w:val="single" w:sz="4" w:space="0" w:color="auto"/>
                    <w:left w:val="nil"/>
                    <w:bottom w:val="single" w:sz="4" w:space="0" w:color="auto"/>
                    <w:right w:val="nil"/>
                  </w:tcBorders>
                  <w:shd w:val="clear" w:color="auto" w:fill="auto"/>
                  <w:noWrap/>
                  <w:vAlign w:val="center"/>
                  <w:hideMark/>
                </w:tcPr>
                <w:p w:rsidR="00F13702" w:rsidRPr="000B3A7F" w:rsidRDefault="00F13702" w:rsidP="00F5743D">
                  <w:pPr>
                    <w:jc w:val="center"/>
                    <w:rPr>
                      <w:rFonts w:ascii="Calibri" w:hAnsi="Calibri" w:cs="Calibri"/>
                      <w:sz w:val="18"/>
                      <w:szCs w:val="18"/>
                      <w:lang w:val="es-EC" w:eastAsia="es-EC"/>
                    </w:rPr>
                  </w:pPr>
                  <w:r w:rsidRPr="000B3A7F">
                    <w:rPr>
                      <w:rFonts w:ascii="Calibri" w:hAnsi="Calibri" w:cs="Calibri"/>
                      <w:sz w:val="18"/>
                      <w:szCs w:val="18"/>
                      <w:lang w:val="es-EC" w:eastAsia="es-EC"/>
                    </w:rPr>
                    <w:t>Total</w:t>
                  </w:r>
                </w:p>
              </w:tc>
            </w:tr>
            <w:tr w:rsidR="00F13702" w:rsidRPr="000B3A7F" w:rsidTr="00F5743D">
              <w:trPr>
                <w:trHeight w:val="300"/>
              </w:trPr>
              <w:tc>
                <w:tcPr>
                  <w:tcW w:w="566"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P.51b </w:t>
                  </w:r>
                </w:p>
              </w:tc>
              <w:tc>
                <w:tcPr>
                  <w:tcW w:w="2864"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r w:rsidRPr="000B3A7F">
                    <w:rPr>
                      <w:rFonts w:ascii="Calibri" w:hAnsi="Calibri" w:cs="Calibri"/>
                      <w:sz w:val="18"/>
                      <w:szCs w:val="18"/>
                      <w:lang w:val="es-EC" w:eastAsia="es-EC"/>
                    </w:rPr>
                    <w:t>Formación bruta de capital fijo</w:t>
                  </w:r>
                </w:p>
              </w:tc>
              <w:tc>
                <w:tcPr>
                  <w:tcW w:w="973" w:type="dxa"/>
                  <w:tcBorders>
                    <w:top w:val="single" w:sz="4" w:space="0" w:color="auto"/>
                    <w:left w:val="nil"/>
                    <w:bottom w:val="nil"/>
                    <w:right w:val="single" w:sz="4" w:space="0" w:color="auto"/>
                  </w:tcBorders>
                  <w:shd w:val="clear" w:color="auto" w:fill="auto"/>
                  <w:noWrap/>
                  <w:vAlign w:val="bottom"/>
                  <w:hideMark/>
                </w:tcPr>
                <w:p w:rsidR="00F13702" w:rsidRPr="00EC106A" w:rsidRDefault="00F13702" w:rsidP="00F5743D">
                  <w:pPr>
                    <w:jc w:val="right"/>
                    <w:rPr>
                      <w:rFonts w:ascii="Calibri" w:hAnsi="Calibri"/>
                      <w:color w:val="000000"/>
                      <w:sz w:val="18"/>
                      <w:szCs w:val="18"/>
                      <w:lang w:val="es-EC"/>
                    </w:rPr>
                  </w:pPr>
                  <w:r w:rsidRPr="00EC106A">
                    <w:rPr>
                      <w:rFonts w:ascii="Calibri" w:hAnsi="Calibri"/>
                      <w:color w:val="000000"/>
                      <w:sz w:val="18"/>
                      <w:szCs w:val="18"/>
                    </w:rPr>
                    <w:t>3.709</w:t>
                  </w:r>
                </w:p>
              </w:tc>
              <w:tc>
                <w:tcPr>
                  <w:tcW w:w="559"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b/>
                      <w:bCs/>
                      <w:sz w:val="18"/>
                      <w:szCs w:val="18"/>
                      <w:lang w:val="es-EC" w:eastAsia="es-EC"/>
                    </w:rPr>
                  </w:pPr>
                  <w:r w:rsidRPr="000B3A7F">
                    <w:rPr>
                      <w:rFonts w:ascii="Calibri" w:hAnsi="Calibri" w:cs="Calibri"/>
                      <w:b/>
                      <w:bCs/>
                      <w:sz w:val="18"/>
                      <w:szCs w:val="18"/>
                      <w:lang w:val="es-EC" w:eastAsia="es-EC"/>
                    </w:rPr>
                    <w:t>B.8n</w:t>
                  </w:r>
                </w:p>
              </w:tc>
              <w:tc>
                <w:tcPr>
                  <w:tcW w:w="2903"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b/>
                      <w:bCs/>
                      <w:sz w:val="18"/>
                      <w:szCs w:val="18"/>
                      <w:lang w:val="es-EC" w:eastAsia="es-EC"/>
                    </w:rPr>
                  </w:pPr>
                  <w:r w:rsidRPr="000B3A7F">
                    <w:rPr>
                      <w:rFonts w:ascii="Calibri" w:hAnsi="Calibri" w:cs="Calibri"/>
                      <w:b/>
                      <w:bCs/>
                      <w:sz w:val="18"/>
                      <w:szCs w:val="18"/>
                      <w:lang w:val="es-EC" w:eastAsia="es-EC"/>
                    </w:rPr>
                    <w:t>Ahorro neto</w:t>
                  </w:r>
                </w:p>
              </w:tc>
              <w:tc>
                <w:tcPr>
                  <w:tcW w:w="973" w:type="dxa"/>
                  <w:tcBorders>
                    <w:top w:val="nil"/>
                    <w:left w:val="nil"/>
                    <w:bottom w:val="nil"/>
                    <w:right w:val="nil"/>
                  </w:tcBorders>
                  <w:shd w:val="clear" w:color="auto" w:fill="auto"/>
                  <w:noWrap/>
                  <w:vAlign w:val="bottom"/>
                  <w:hideMark/>
                </w:tcPr>
                <w:p w:rsidR="00F13702" w:rsidRPr="00546ACE" w:rsidRDefault="00F13702" w:rsidP="00F5743D">
                  <w:pPr>
                    <w:jc w:val="right"/>
                    <w:rPr>
                      <w:rFonts w:ascii="Calibri" w:hAnsi="Calibri"/>
                      <w:color w:val="000000"/>
                      <w:sz w:val="18"/>
                      <w:szCs w:val="22"/>
                    </w:rPr>
                  </w:pPr>
                  <w:r w:rsidRPr="00EC106A">
                    <w:rPr>
                      <w:rFonts w:ascii="Calibri" w:hAnsi="Calibri"/>
                      <w:color w:val="000000"/>
                      <w:sz w:val="18"/>
                      <w:szCs w:val="22"/>
                    </w:rPr>
                    <w:t>29.817</w:t>
                  </w:r>
                </w:p>
              </w:tc>
            </w:tr>
            <w:tr w:rsidR="00F13702" w:rsidRPr="000B3A7F" w:rsidTr="00F5743D">
              <w:trPr>
                <w:trHeight w:val="300"/>
              </w:trPr>
              <w:tc>
                <w:tcPr>
                  <w:tcW w:w="566"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P.51c </w:t>
                  </w:r>
                </w:p>
              </w:tc>
              <w:tc>
                <w:tcPr>
                  <w:tcW w:w="2864"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r w:rsidRPr="000B3A7F">
                    <w:rPr>
                      <w:rFonts w:ascii="Calibri" w:hAnsi="Calibri" w:cs="Calibri"/>
                      <w:sz w:val="18"/>
                      <w:szCs w:val="18"/>
                      <w:lang w:val="es-EC" w:eastAsia="es-EC"/>
                    </w:rPr>
                    <w:t>Consumo de capital fijo (-)</w:t>
                  </w:r>
                </w:p>
              </w:tc>
              <w:tc>
                <w:tcPr>
                  <w:tcW w:w="973" w:type="dxa"/>
                  <w:tcBorders>
                    <w:top w:val="nil"/>
                    <w:left w:val="nil"/>
                    <w:bottom w:val="nil"/>
                    <w:right w:val="single" w:sz="4" w:space="0" w:color="auto"/>
                  </w:tcBorders>
                  <w:shd w:val="clear" w:color="auto" w:fill="auto"/>
                  <w:noWrap/>
                  <w:vAlign w:val="bottom"/>
                  <w:hideMark/>
                </w:tcPr>
                <w:p w:rsidR="00F13702" w:rsidRPr="00EC106A" w:rsidRDefault="00F13702" w:rsidP="00F5743D">
                  <w:pPr>
                    <w:jc w:val="right"/>
                    <w:rPr>
                      <w:rFonts w:ascii="Calibri" w:hAnsi="Calibri"/>
                      <w:color w:val="000000"/>
                      <w:sz w:val="18"/>
                      <w:szCs w:val="18"/>
                    </w:rPr>
                  </w:pPr>
                  <w:r w:rsidRPr="00EC106A">
                    <w:rPr>
                      <w:rFonts w:ascii="Calibri" w:hAnsi="Calibri"/>
                      <w:color w:val="000000"/>
                      <w:sz w:val="18"/>
                      <w:szCs w:val="18"/>
                    </w:rPr>
                    <w:t>2.664</w:t>
                  </w:r>
                </w:p>
              </w:tc>
              <w:tc>
                <w:tcPr>
                  <w:tcW w:w="559"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r w:rsidRPr="000B3A7F">
                    <w:rPr>
                      <w:rFonts w:ascii="Calibri" w:hAnsi="Calibri" w:cs="Calibri"/>
                      <w:sz w:val="18"/>
                      <w:szCs w:val="18"/>
                      <w:lang w:val="es-EC" w:eastAsia="es-EC"/>
                    </w:rPr>
                    <w:t xml:space="preserve">D.9r </w:t>
                  </w:r>
                </w:p>
              </w:tc>
              <w:tc>
                <w:tcPr>
                  <w:tcW w:w="2903"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r w:rsidRPr="000B3A7F">
                    <w:rPr>
                      <w:rFonts w:ascii="Calibri" w:hAnsi="Calibri" w:cs="Calibri"/>
                      <w:sz w:val="18"/>
                      <w:szCs w:val="18"/>
                      <w:lang w:val="es-EC" w:eastAsia="es-EC"/>
                    </w:rPr>
                    <w:t>Transferencias de capital recibidas</w:t>
                  </w:r>
                </w:p>
              </w:tc>
              <w:tc>
                <w:tcPr>
                  <w:tcW w:w="973" w:type="dxa"/>
                  <w:tcBorders>
                    <w:top w:val="nil"/>
                    <w:left w:val="nil"/>
                    <w:bottom w:val="nil"/>
                    <w:right w:val="nil"/>
                  </w:tcBorders>
                  <w:shd w:val="clear" w:color="auto" w:fill="auto"/>
                  <w:noWrap/>
                  <w:vAlign w:val="bottom"/>
                </w:tcPr>
                <w:p w:rsidR="00F13702" w:rsidRPr="00546ACE" w:rsidRDefault="00F13702" w:rsidP="00F5743D">
                  <w:pPr>
                    <w:jc w:val="right"/>
                    <w:rPr>
                      <w:rFonts w:ascii="Calibri" w:hAnsi="Calibri"/>
                      <w:color w:val="000000"/>
                      <w:sz w:val="18"/>
                      <w:szCs w:val="22"/>
                    </w:rPr>
                  </w:pPr>
                </w:p>
              </w:tc>
            </w:tr>
            <w:tr w:rsidR="00F13702" w:rsidRPr="000B3A7F" w:rsidTr="00F5743D">
              <w:trPr>
                <w:trHeight w:val="300"/>
              </w:trPr>
              <w:tc>
                <w:tcPr>
                  <w:tcW w:w="566"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b/>
                      <w:bCs/>
                      <w:sz w:val="18"/>
                      <w:szCs w:val="18"/>
                      <w:lang w:val="es-EC" w:eastAsia="es-EC"/>
                    </w:rPr>
                  </w:pPr>
                  <w:r w:rsidRPr="000B3A7F">
                    <w:rPr>
                      <w:rFonts w:ascii="Calibri" w:hAnsi="Calibri" w:cs="Calibri"/>
                      <w:b/>
                      <w:bCs/>
                      <w:sz w:val="18"/>
                      <w:szCs w:val="18"/>
                      <w:lang w:val="es-EC" w:eastAsia="es-EC"/>
                    </w:rPr>
                    <w:t>P.52</w:t>
                  </w:r>
                </w:p>
              </w:tc>
              <w:tc>
                <w:tcPr>
                  <w:tcW w:w="2864"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r w:rsidRPr="000B3A7F">
                    <w:rPr>
                      <w:rFonts w:ascii="Calibri" w:hAnsi="Calibri" w:cs="Calibri"/>
                      <w:sz w:val="18"/>
                      <w:szCs w:val="18"/>
                      <w:lang w:val="es-EC" w:eastAsia="es-EC"/>
                    </w:rPr>
                    <w:t>Variaciones de existencias</w:t>
                  </w:r>
                </w:p>
              </w:tc>
              <w:tc>
                <w:tcPr>
                  <w:tcW w:w="973" w:type="dxa"/>
                  <w:tcBorders>
                    <w:top w:val="nil"/>
                    <w:left w:val="nil"/>
                    <w:bottom w:val="nil"/>
                    <w:right w:val="single" w:sz="4" w:space="0" w:color="auto"/>
                  </w:tcBorders>
                  <w:shd w:val="clear" w:color="auto" w:fill="auto"/>
                  <w:noWrap/>
                  <w:vAlign w:val="bottom"/>
                  <w:hideMark/>
                </w:tcPr>
                <w:p w:rsidR="00F13702" w:rsidRPr="00EC106A" w:rsidRDefault="00F13702" w:rsidP="00F5743D">
                  <w:pPr>
                    <w:jc w:val="right"/>
                    <w:rPr>
                      <w:rFonts w:ascii="Calibri" w:hAnsi="Calibri"/>
                      <w:color w:val="000000"/>
                      <w:sz w:val="18"/>
                      <w:szCs w:val="18"/>
                    </w:rPr>
                  </w:pPr>
                  <w:r w:rsidRPr="00EC106A">
                    <w:rPr>
                      <w:rFonts w:ascii="Calibri" w:hAnsi="Calibri"/>
                      <w:color w:val="000000"/>
                      <w:sz w:val="18"/>
                      <w:szCs w:val="18"/>
                    </w:rPr>
                    <w:t>2</w:t>
                  </w:r>
                </w:p>
              </w:tc>
              <w:tc>
                <w:tcPr>
                  <w:tcW w:w="559"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r w:rsidRPr="000B3A7F">
                    <w:rPr>
                      <w:rFonts w:ascii="Calibri" w:hAnsi="Calibri" w:cs="Calibri"/>
                      <w:sz w:val="18"/>
                      <w:szCs w:val="18"/>
                      <w:lang w:val="es-EC" w:eastAsia="es-EC"/>
                    </w:rPr>
                    <w:t xml:space="preserve">D.9p </w:t>
                  </w:r>
                </w:p>
              </w:tc>
              <w:tc>
                <w:tcPr>
                  <w:tcW w:w="2903"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r w:rsidRPr="000B3A7F">
                    <w:rPr>
                      <w:rFonts w:ascii="Calibri" w:hAnsi="Calibri" w:cs="Calibri"/>
                      <w:sz w:val="18"/>
                      <w:szCs w:val="18"/>
                      <w:lang w:val="es-EC" w:eastAsia="es-EC"/>
                    </w:rPr>
                    <w:t>Transferencias de capital pagadas (-)</w:t>
                  </w:r>
                </w:p>
              </w:tc>
              <w:tc>
                <w:tcPr>
                  <w:tcW w:w="973" w:type="dxa"/>
                  <w:tcBorders>
                    <w:top w:val="nil"/>
                    <w:left w:val="nil"/>
                    <w:bottom w:val="nil"/>
                    <w:right w:val="nil"/>
                  </w:tcBorders>
                  <w:shd w:val="clear" w:color="auto" w:fill="auto"/>
                  <w:noWrap/>
                  <w:vAlign w:val="bottom"/>
                </w:tcPr>
                <w:p w:rsidR="00F13702" w:rsidRPr="00546ACE" w:rsidRDefault="00F13702" w:rsidP="00F5743D">
                  <w:pPr>
                    <w:jc w:val="right"/>
                    <w:rPr>
                      <w:rFonts w:ascii="Calibri" w:hAnsi="Calibri"/>
                      <w:color w:val="000000"/>
                      <w:sz w:val="18"/>
                      <w:szCs w:val="22"/>
                    </w:rPr>
                  </w:pPr>
                </w:p>
              </w:tc>
            </w:tr>
            <w:tr w:rsidR="00F13702" w:rsidRPr="000B3A7F" w:rsidTr="00F5743D">
              <w:trPr>
                <w:trHeight w:val="300"/>
              </w:trPr>
              <w:tc>
                <w:tcPr>
                  <w:tcW w:w="566"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P.53 </w:t>
                  </w:r>
                </w:p>
              </w:tc>
              <w:tc>
                <w:tcPr>
                  <w:tcW w:w="2864"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r w:rsidRPr="000B3A7F">
                    <w:rPr>
                      <w:rFonts w:ascii="Calibri" w:hAnsi="Calibri" w:cs="Calibri"/>
                      <w:sz w:val="18"/>
                      <w:szCs w:val="18"/>
                      <w:lang w:val="es-EC" w:eastAsia="es-EC"/>
                    </w:rPr>
                    <w:t>Adquisiciones menos disposiciones de objetos valiosos</w:t>
                  </w:r>
                </w:p>
              </w:tc>
              <w:tc>
                <w:tcPr>
                  <w:tcW w:w="973" w:type="dxa"/>
                  <w:tcBorders>
                    <w:top w:val="nil"/>
                    <w:left w:val="nil"/>
                    <w:bottom w:val="nil"/>
                    <w:right w:val="single" w:sz="4" w:space="0" w:color="auto"/>
                  </w:tcBorders>
                  <w:shd w:val="clear" w:color="auto" w:fill="auto"/>
                  <w:noWrap/>
                  <w:vAlign w:val="bottom"/>
                  <w:hideMark/>
                </w:tcPr>
                <w:p w:rsidR="00F13702" w:rsidRPr="00EC106A" w:rsidRDefault="00F13702" w:rsidP="00F5743D">
                  <w:pPr>
                    <w:rPr>
                      <w:rFonts w:ascii="Calibri" w:hAnsi="Calibri"/>
                      <w:color w:val="000000"/>
                      <w:sz w:val="18"/>
                      <w:szCs w:val="18"/>
                    </w:rPr>
                  </w:pPr>
                  <w:r w:rsidRPr="00EC106A">
                    <w:rPr>
                      <w:rFonts w:ascii="Calibri" w:hAnsi="Calibri"/>
                      <w:color w:val="000000"/>
                      <w:sz w:val="18"/>
                      <w:szCs w:val="18"/>
                    </w:rPr>
                    <w:t> </w:t>
                  </w:r>
                </w:p>
              </w:tc>
              <w:tc>
                <w:tcPr>
                  <w:tcW w:w="559"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p>
              </w:tc>
              <w:tc>
                <w:tcPr>
                  <w:tcW w:w="2903"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p>
              </w:tc>
              <w:tc>
                <w:tcPr>
                  <w:tcW w:w="973"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p>
              </w:tc>
            </w:tr>
            <w:tr w:rsidR="00F13702" w:rsidRPr="000B3A7F" w:rsidTr="00F5743D">
              <w:trPr>
                <w:trHeight w:val="600"/>
              </w:trPr>
              <w:tc>
                <w:tcPr>
                  <w:tcW w:w="566"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b/>
                      <w:bCs/>
                      <w:sz w:val="18"/>
                      <w:szCs w:val="18"/>
                      <w:lang w:val="es-EC" w:eastAsia="es-EC"/>
                    </w:rPr>
                  </w:pPr>
                  <w:r w:rsidRPr="000B3A7F">
                    <w:rPr>
                      <w:rFonts w:ascii="Calibri" w:hAnsi="Calibri" w:cs="Calibri"/>
                      <w:b/>
                      <w:bCs/>
                      <w:sz w:val="18"/>
                      <w:szCs w:val="18"/>
                      <w:lang w:val="es-EC" w:eastAsia="es-EC"/>
                    </w:rPr>
                    <w:t>NP</w:t>
                  </w:r>
                </w:p>
              </w:tc>
              <w:tc>
                <w:tcPr>
                  <w:tcW w:w="2864" w:type="dxa"/>
                  <w:tcBorders>
                    <w:top w:val="nil"/>
                    <w:left w:val="nil"/>
                    <w:bottom w:val="nil"/>
                    <w:right w:val="nil"/>
                  </w:tcBorders>
                  <w:shd w:val="clear" w:color="auto" w:fill="auto"/>
                  <w:vAlign w:val="center"/>
                  <w:hideMark/>
                </w:tcPr>
                <w:p w:rsidR="00F13702" w:rsidRPr="000B3A7F" w:rsidRDefault="00F13702" w:rsidP="00F5743D">
                  <w:pPr>
                    <w:rPr>
                      <w:rFonts w:ascii="Calibri" w:hAnsi="Calibri" w:cs="Calibri"/>
                      <w:sz w:val="18"/>
                      <w:szCs w:val="18"/>
                      <w:lang w:val="es-EC" w:eastAsia="es-EC"/>
                    </w:rPr>
                  </w:pPr>
                  <w:r w:rsidRPr="000B3A7F">
                    <w:rPr>
                      <w:rFonts w:ascii="Calibri" w:hAnsi="Calibri" w:cs="Calibri"/>
                      <w:sz w:val="18"/>
                      <w:szCs w:val="18"/>
                      <w:lang w:val="es-EC" w:eastAsia="es-EC"/>
                    </w:rPr>
                    <w:t>Adquisición menos disposiciones de activos no financieros no producidos</w:t>
                  </w:r>
                </w:p>
              </w:tc>
              <w:tc>
                <w:tcPr>
                  <w:tcW w:w="973" w:type="dxa"/>
                  <w:tcBorders>
                    <w:top w:val="nil"/>
                    <w:left w:val="nil"/>
                    <w:bottom w:val="nil"/>
                    <w:right w:val="single" w:sz="4" w:space="0" w:color="auto"/>
                  </w:tcBorders>
                  <w:shd w:val="clear" w:color="auto" w:fill="auto"/>
                  <w:noWrap/>
                  <w:vAlign w:val="bottom"/>
                  <w:hideMark/>
                </w:tcPr>
                <w:p w:rsidR="00F13702" w:rsidRPr="00EC106A" w:rsidRDefault="00F13702" w:rsidP="00F5743D">
                  <w:pPr>
                    <w:rPr>
                      <w:rFonts w:ascii="Calibri" w:hAnsi="Calibri"/>
                      <w:color w:val="000000"/>
                      <w:sz w:val="18"/>
                      <w:szCs w:val="18"/>
                    </w:rPr>
                  </w:pPr>
                  <w:r w:rsidRPr="00EC106A">
                    <w:rPr>
                      <w:rFonts w:ascii="Calibri" w:hAnsi="Calibri"/>
                      <w:color w:val="000000"/>
                      <w:sz w:val="18"/>
                      <w:szCs w:val="18"/>
                    </w:rPr>
                    <w:t> </w:t>
                  </w:r>
                </w:p>
              </w:tc>
              <w:tc>
                <w:tcPr>
                  <w:tcW w:w="559"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p>
              </w:tc>
              <w:tc>
                <w:tcPr>
                  <w:tcW w:w="2903"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p>
              </w:tc>
              <w:tc>
                <w:tcPr>
                  <w:tcW w:w="973"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sz w:val="18"/>
                      <w:szCs w:val="18"/>
                      <w:lang w:val="es-EC" w:eastAsia="es-EC"/>
                    </w:rPr>
                  </w:pPr>
                </w:p>
              </w:tc>
            </w:tr>
            <w:tr w:rsidR="00F13702" w:rsidRPr="000B3A7F" w:rsidTr="00F5743D">
              <w:trPr>
                <w:trHeight w:val="300"/>
              </w:trPr>
              <w:tc>
                <w:tcPr>
                  <w:tcW w:w="566"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B.9 </w:t>
                  </w:r>
                </w:p>
              </w:tc>
              <w:tc>
                <w:tcPr>
                  <w:tcW w:w="2864"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b/>
                      <w:bCs/>
                      <w:sz w:val="18"/>
                      <w:szCs w:val="18"/>
                      <w:lang w:val="es-EC" w:eastAsia="es-EC"/>
                    </w:rPr>
                  </w:pPr>
                  <w:r w:rsidRPr="000B3A7F">
                    <w:rPr>
                      <w:rFonts w:ascii="Calibri" w:hAnsi="Calibri" w:cs="Calibri"/>
                      <w:b/>
                      <w:bCs/>
                      <w:sz w:val="18"/>
                      <w:szCs w:val="18"/>
                      <w:lang w:val="es-EC" w:eastAsia="es-EC"/>
                    </w:rPr>
                    <w:t>Préstamo neto / endeudamiento neto</w:t>
                  </w:r>
                </w:p>
              </w:tc>
              <w:tc>
                <w:tcPr>
                  <w:tcW w:w="973" w:type="dxa"/>
                  <w:tcBorders>
                    <w:top w:val="nil"/>
                    <w:left w:val="nil"/>
                    <w:bottom w:val="nil"/>
                    <w:right w:val="single" w:sz="4" w:space="0" w:color="auto"/>
                  </w:tcBorders>
                  <w:shd w:val="clear" w:color="auto" w:fill="auto"/>
                  <w:noWrap/>
                  <w:vAlign w:val="bottom"/>
                  <w:hideMark/>
                </w:tcPr>
                <w:p w:rsidR="00F13702" w:rsidRPr="00EC106A" w:rsidRDefault="00F13702" w:rsidP="00F5743D">
                  <w:pPr>
                    <w:jc w:val="right"/>
                    <w:rPr>
                      <w:rFonts w:ascii="Calibri" w:hAnsi="Calibri"/>
                      <w:b/>
                      <w:bCs/>
                      <w:color w:val="000000"/>
                      <w:sz w:val="18"/>
                      <w:szCs w:val="18"/>
                    </w:rPr>
                  </w:pPr>
                  <w:r w:rsidRPr="00EC106A">
                    <w:rPr>
                      <w:rFonts w:ascii="Calibri" w:hAnsi="Calibri"/>
                      <w:b/>
                      <w:bCs/>
                      <w:color w:val="000000"/>
                      <w:sz w:val="18"/>
                      <w:szCs w:val="18"/>
                    </w:rPr>
                    <w:t>28.770</w:t>
                  </w:r>
                </w:p>
              </w:tc>
              <w:tc>
                <w:tcPr>
                  <w:tcW w:w="559"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color w:val="000000"/>
                      <w:sz w:val="18"/>
                      <w:szCs w:val="18"/>
                      <w:lang w:val="es-EC" w:eastAsia="es-EC"/>
                    </w:rPr>
                  </w:pPr>
                </w:p>
              </w:tc>
              <w:tc>
                <w:tcPr>
                  <w:tcW w:w="2903"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color w:val="000000"/>
                      <w:sz w:val="18"/>
                      <w:szCs w:val="18"/>
                      <w:lang w:val="es-EC" w:eastAsia="es-EC"/>
                    </w:rPr>
                  </w:pPr>
                </w:p>
              </w:tc>
              <w:tc>
                <w:tcPr>
                  <w:tcW w:w="973" w:type="dxa"/>
                  <w:tcBorders>
                    <w:top w:val="nil"/>
                    <w:left w:val="nil"/>
                    <w:bottom w:val="nil"/>
                    <w:right w:val="nil"/>
                  </w:tcBorders>
                  <w:shd w:val="clear" w:color="auto" w:fill="auto"/>
                  <w:noWrap/>
                  <w:vAlign w:val="center"/>
                  <w:hideMark/>
                </w:tcPr>
                <w:p w:rsidR="00F13702" w:rsidRPr="000B3A7F" w:rsidRDefault="00F13702" w:rsidP="00F5743D">
                  <w:pPr>
                    <w:rPr>
                      <w:rFonts w:ascii="Calibri" w:hAnsi="Calibri" w:cs="Calibri"/>
                      <w:color w:val="000000"/>
                      <w:sz w:val="18"/>
                      <w:szCs w:val="18"/>
                      <w:lang w:val="es-EC" w:eastAsia="es-EC"/>
                    </w:rPr>
                  </w:pPr>
                </w:p>
              </w:tc>
            </w:tr>
          </w:tbl>
          <w:p w:rsidR="00F13702" w:rsidRPr="00410A0A" w:rsidRDefault="00F13702" w:rsidP="009036BF">
            <w:pPr>
              <w:spacing w:before="120" w:after="120"/>
              <w:jc w:val="both"/>
              <w:rPr>
                <w:rFonts w:asciiTheme="minorHAnsi" w:eastAsiaTheme="minorHAnsi" w:hAnsiTheme="minorHAnsi" w:cs="Arial"/>
                <w:b/>
                <w:bCs/>
                <w:color w:val="000000"/>
                <w:szCs w:val="22"/>
              </w:rPr>
            </w:pPr>
          </w:p>
        </w:tc>
      </w:tr>
      <w:tr w:rsidR="00935CAD" w:rsidRPr="00080CCB" w:rsidTr="007E7852">
        <w:trPr>
          <w:jc w:val="center"/>
        </w:trPr>
        <w:tc>
          <w:tcPr>
            <w:tcW w:w="9054" w:type="dxa"/>
            <w:gridSpan w:val="4"/>
            <w:shd w:val="clear" w:color="auto" w:fill="DBE5F1"/>
            <w:vAlign w:val="center"/>
          </w:tcPr>
          <w:p w:rsidR="00935CAD" w:rsidRPr="00410A0A" w:rsidRDefault="00E05929" w:rsidP="00D27611">
            <w:pPr>
              <w:spacing w:before="120" w:after="120"/>
              <w:jc w:val="center"/>
              <w:rPr>
                <w:rFonts w:asciiTheme="minorHAnsi" w:hAnsiTheme="minorHAnsi" w:cs="Arial"/>
                <w:szCs w:val="22"/>
              </w:rPr>
            </w:pPr>
            <w:r w:rsidRPr="00410A0A">
              <w:rPr>
                <w:rFonts w:asciiTheme="minorHAnsi" w:eastAsiaTheme="minorHAnsi" w:hAnsiTheme="minorHAnsi" w:cs="Arial"/>
                <w:b/>
                <w:bCs/>
                <w:color w:val="000000"/>
                <w:szCs w:val="22"/>
                <w:lang w:val="es-EC"/>
              </w:rPr>
              <w:t>4</w:t>
            </w:r>
            <w:r w:rsidR="00080CCB" w:rsidRPr="00410A0A">
              <w:rPr>
                <w:rFonts w:asciiTheme="minorHAnsi" w:eastAsiaTheme="minorHAnsi" w:hAnsiTheme="minorHAnsi" w:cs="Arial"/>
                <w:b/>
                <w:bCs/>
                <w:color w:val="000000"/>
                <w:szCs w:val="22"/>
                <w:lang w:val="es-EC"/>
              </w:rPr>
              <w:t xml:space="preserve">. </w:t>
            </w:r>
            <w:r w:rsidR="00935CAD" w:rsidRPr="00410A0A">
              <w:rPr>
                <w:rFonts w:asciiTheme="minorHAnsi" w:eastAsiaTheme="minorHAnsi" w:hAnsiTheme="minorHAnsi" w:cs="Arial"/>
                <w:b/>
                <w:bCs/>
                <w:color w:val="000000"/>
                <w:szCs w:val="22"/>
                <w:lang w:val="es-EC"/>
              </w:rPr>
              <w:t>FÓRMULA DE CÁLCULO</w:t>
            </w:r>
          </w:p>
        </w:tc>
      </w:tr>
      <w:tr w:rsidR="00BB0EEC" w:rsidRPr="00080CCB" w:rsidTr="007E7852">
        <w:trPr>
          <w:jc w:val="center"/>
        </w:trPr>
        <w:tc>
          <w:tcPr>
            <w:tcW w:w="9054" w:type="dxa"/>
            <w:gridSpan w:val="4"/>
            <w:shd w:val="clear" w:color="auto" w:fill="DBE5F1"/>
            <w:vAlign w:val="center"/>
          </w:tcPr>
          <w:p w:rsidR="00BB0EEC"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PASIVOS</w:t>
            </w:r>
          </w:p>
        </w:tc>
      </w:tr>
      <w:tr w:rsidR="00BB0EEC" w:rsidRPr="00080CCB" w:rsidTr="007E7852">
        <w:trPr>
          <w:jc w:val="center"/>
        </w:trPr>
        <w:tc>
          <w:tcPr>
            <w:tcW w:w="9054" w:type="dxa"/>
            <w:gridSpan w:val="4"/>
            <w:shd w:val="clear" w:color="auto" w:fill="DBE5F1"/>
            <w:vAlign w:val="center"/>
          </w:tcPr>
          <w:p w:rsidR="00BB0EEC" w:rsidRPr="00410A0A" w:rsidRDefault="00BB0EEC" w:rsidP="009036B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sidRPr="00BB0EEC">
              <w:rPr>
                <w:rFonts w:asciiTheme="minorHAnsi" w:eastAsiaTheme="minorHAnsi" w:hAnsiTheme="minorHAnsi" w:cs="Arial"/>
                <w:b/>
                <w:bCs/>
                <w:color w:val="000000"/>
                <w:szCs w:val="22"/>
                <w:lang w:val="es-EC"/>
              </w:rPr>
              <w:tab/>
              <w:t>Ahorro neto</w:t>
            </w:r>
          </w:p>
        </w:tc>
      </w:tr>
      <w:tr w:rsidR="00BB0EEC" w:rsidRPr="00080CCB" w:rsidTr="00BB0EEC">
        <w:trPr>
          <w:jc w:val="center"/>
        </w:trPr>
        <w:tc>
          <w:tcPr>
            <w:tcW w:w="9054" w:type="dxa"/>
            <w:gridSpan w:val="4"/>
            <w:shd w:val="clear" w:color="auto" w:fill="auto"/>
            <w:vAlign w:val="center"/>
          </w:tcPr>
          <w:p w:rsidR="000E7348" w:rsidRPr="00517347" w:rsidRDefault="000E7348" w:rsidP="000E7348">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w:lastRenderedPageBreak/>
                <m:t>B.8</m:t>
              </m:r>
              <m:r>
                <m:rPr>
                  <m:sty m:val="bi"/>
                </m:rPr>
                <w:rPr>
                  <w:rFonts w:ascii="Cambria Math" w:eastAsiaTheme="minorHAnsi" w:hAnsi="Cambria Math" w:cs="Arial"/>
                  <w:color w:val="000000"/>
                  <w:szCs w:val="22"/>
                </w:rPr>
                <m:t>n</m:t>
              </m:r>
              <m:r>
                <w:rPr>
                  <w:rFonts w:ascii="Cambria Math" w:eastAsiaTheme="minorHAnsi" w:hAnsi="Cambria Math" w:cs="Arial"/>
                  <w:color w:val="000000"/>
                  <w:szCs w:val="22"/>
                </w:rPr>
                <m:t>=B.6n-P.31-P.32</m:t>
              </m:r>
            </m:oMath>
            <w:r>
              <w:rPr>
                <w:rFonts w:asciiTheme="minorHAnsi" w:eastAsiaTheme="minorEastAsia" w:hAnsiTheme="minorHAnsi" w:cs="Arial"/>
                <w:bCs/>
                <w:color w:val="000000"/>
                <w:szCs w:val="22"/>
              </w:rPr>
              <w:t xml:space="preserve">                                                          </w:t>
            </w:r>
          </w:p>
          <w:p w:rsidR="000E7348" w:rsidRDefault="000E7348" w:rsidP="000E7348">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w:t>
            </w:r>
            <w:r w:rsidR="00BE0FAE">
              <w:rPr>
                <w:rFonts w:asciiTheme="minorHAnsi" w:eastAsiaTheme="minorHAnsi" w:hAnsiTheme="minorHAnsi" w:cs="Arial"/>
                <w:bCs/>
                <w:color w:val="000000"/>
                <w:szCs w:val="22"/>
              </w:rPr>
              <w:t>n</w:t>
            </w:r>
            <w:r>
              <w:rPr>
                <w:rFonts w:asciiTheme="minorHAnsi" w:eastAsiaTheme="minorHAnsi" w:hAnsiTheme="minorHAnsi" w:cs="Arial"/>
                <w:bCs/>
                <w:color w:val="000000"/>
                <w:szCs w:val="22"/>
              </w:rPr>
              <w:t xml:space="preserve"> </w:t>
            </w:r>
            <w:r w:rsidRPr="009036BF">
              <w:rPr>
                <w:rFonts w:asciiTheme="minorHAnsi" w:eastAsiaTheme="minorHAnsi" w:hAnsiTheme="minorHAnsi" w:cs="Arial"/>
                <w:bCs/>
                <w:color w:val="000000"/>
                <w:szCs w:val="22"/>
              </w:rPr>
              <w:t xml:space="preserve">= </w:t>
            </w:r>
            <w:r>
              <w:rPr>
                <w:rFonts w:asciiTheme="minorHAnsi" w:eastAsiaTheme="minorHAnsi" w:hAnsiTheme="minorHAnsi" w:cs="Arial"/>
                <w:bCs/>
                <w:color w:val="000000"/>
                <w:szCs w:val="22"/>
              </w:rPr>
              <w:t>Ahorro 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B.6n </w:t>
            </w:r>
            <w:r w:rsidRPr="009036BF">
              <w:rPr>
                <w:rFonts w:asciiTheme="minorHAnsi" w:eastAsiaTheme="minorHAnsi" w:hAnsiTheme="minorHAnsi" w:cs="Arial"/>
                <w:bCs/>
                <w:color w:val="000000"/>
                <w:szCs w:val="22"/>
              </w:rPr>
              <w:t xml:space="preserve">= </w:t>
            </w:r>
            <w:r w:rsidRPr="00862698">
              <w:rPr>
                <w:rFonts w:asciiTheme="minorHAnsi" w:eastAsiaTheme="minorHAnsi" w:hAnsiTheme="minorHAnsi" w:cs="Arial"/>
                <w:bCs/>
                <w:color w:val="000000"/>
                <w:szCs w:val="22"/>
              </w:rPr>
              <w:t xml:space="preserve">Ingreso nacional disponible </w:t>
            </w:r>
            <w:r>
              <w:rPr>
                <w:rFonts w:asciiTheme="minorHAnsi" w:eastAsiaTheme="minorHAnsi" w:hAnsiTheme="minorHAnsi" w:cs="Arial"/>
                <w:bCs/>
                <w:color w:val="000000"/>
                <w:szCs w:val="22"/>
              </w:rPr>
              <w:t>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P.31 = </w:t>
            </w:r>
            <w:r w:rsidR="006379DF">
              <w:rPr>
                <w:rFonts w:asciiTheme="minorHAnsi" w:eastAsiaTheme="minorHAnsi" w:hAnsiTheme="minorHAnsi" w:cs="Arial"/>
                <w:bCs/>
                <w:color w:val="000000"/>
                <w:szCs w:val="22"/>
              </w:rPr>
              <w:t>Gasto de c</w:t>
            </w:r>
            <w:r w:rsidRPr="00862698">
              <w:rPr>
                <w:rFonts w:asciiTheme="minorHAnsi" w:eastAsiaTheme="minorHAnsi" w:hAnsiTheme="minorHAnsi" w:cs="Arial"/>
                <w:bCs/>
                <w:color w:val="000000"/>
                <w:szCs w:val="22"/>
              </w:rPr>
              <w:t>onsumo final individual</w:t>
            </w:r>
          </w:p>
          <w:p w:rsidR="004C2B0C" w:rsidRPr="00410A0A" w:rsidRDefault="000E7348" w:rsidP="00BE0FAE">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Cs/>
                <w:color w:val="000000"/>
                <w:szCs w:val="22"/>
              </w:rPr>
              <w:t>P.32 =</w:t>
            </w:r>
            <w:r w:rsidR="006379DF">
              <w:rPr>
                <w:rFonts w:asciiTheme="minorHAnsi" w:eastAsiaTheme="minorHAnsi" w:hAnsiTheme="minorHAnsi" w:cs="Arial"/>
                <w:bCs/>
                <w:color w:val="000000"/>
                <w:szCs w:val="22"/>
              </w:rPr>
              <w:t xml:space="preserve"> Gasto de c</w:t>
            </w:r>
            <w:r w:rsidRPr="00862698">
              <w:rPr>
                <w:rFonts w:asciiTheme="minorHAnsi" w:eastAsiaTheme="minorHAnsi" w:hAnsiTheme="minorHAnsi" w:cs="Arial"/>
                <w:bCs/>
                <w:color w:val="000000"/>
                <w:szCs w:val="22"/>
              </w:rPr>
              <w:t xml:space="preserve">onsumo final </w:t>
            </w:r>
            <w:r>
              <w:rPr>
                <w:rFonts w:asciiTheme="minorHAnsi" w:eastAsiaTheme="minorHAnsi" w:hAnsiTheme="minorHAnsi" w:cs="Arial"/>
                <w:bCs/>
                <w:color w:val="000000"/>
                <w:szCs w:val="22"/>
              </w:rPr>
              <w:t>co</w:t>
            </w:r>
            <w:r w:rsidRPr="00862698">
              <w:rPr>
                <w:rFonts w:asciiTheme="minorHAnsi" w:eastAsiaTheme="minorHAnsi" w:hAnsiTheme="minorHAnsi" w:cs="Arial"/>
                <w:bCs/>
                <w:color w:val="000000"/>
                <w:szCs w:val="22"/>
              </w:rPr>
              <w:t>l</w:t>
            </w:r>
            <w:r w:rsidR="006379DF">
              <w:rPr>
                <w:rFonts w:asciiTheme="minorHAnsi" w:eastAsiaTheme="minorHAnsi" w:hAnsiTheme="minorHAnsi" w:cs="Arial"/>
                <w:bCs/>
                <w:color w:val="000000"/>
                <w:szCs w:val="22"/>
              </w:rPr>
              <w:t xml:space="preserve">ectivo </w:t>
            </w:r>
          </w:p>
        </w:tc>
      </w:tr>
      <w:tr w:rsidR="00BB0EEC" w:rsidRPr="00080CCB" w:rsidTr="007E7852">
        <w:trPr>
          <w:jc w:val="center"/>
        </w:trPr>
        <w:tc>
          <w:tcPr>
            <w:tcW w:w="9054" w:type="dxa"/>
            <w:gridSpan w:val="4"/>
            <w:shd w:val="clear" w:color="auto" w:fill="DBE5F1"/>
            <w:vAlign w:val="center"/>
          </w:tcPr>
          <w:p w:rsidR="00BB0EEC"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D.9r </w:t>
            </w:r>
            <w:r w:rsidRPr="000B3A7F">
              <w:rPr>
                <w:rFonts w:asciiTheme="minorHAnsi" w:eastAsiaTheme="minorHAnsi" w:hAnsiTheme="minorHAnsi" w:cs="Arial"/>
                <w:b/>
                <w:bCs/>
                <w:color w:val="000000"/>
                <w:szCs w:val="22"/>
                <w:lang w:val="es-EC"/>
              </w:rPr>
              <w:tab/>
              <w:t>Transferencias de capital recibidas</w:t>
            </w:r>
          </w:p>
        </w:tc>
      </w:tr>
      <w:tr w:rsidR="000B3A7F" w:rsidRPr="00080CCB" w:rsidTr="000B3A7F">
        <w:trPr>
          <w:jc w:val="center"/>
        </w:trPr>
        <w:tc>
          <w:tcPr>
            <w:tcW w:w="9054" w:type="dxa"/>
            <w:gridSpan w:val="4"/>
            <w:shd w:val="clear" w:color="auto" w:fill="auto"/>
            <w:vAlign w:val="center"/>
          </w:tcPr>
          <w:p w:rsidR="000B3A7F" w:rsidRPr="008020C1" w:rsidRDefault="004E034B" w:rsidP="00EC106A">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D.9r=</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ingresos correspondientes a D.92r y D.99r</m:t>
                    </m:r>
                  </m:e>
                </m:nary>
              </m:oMath>
            </m:oMathPara>
          </w:p>
        </w:tc>
      </w:tr>
      <w:tr w:rsidR="000B3A7F" w:rsidRPr="00080CCB" w:rsidTr="007E7852">
        <w:trPr>
          <w:jc w:val="center"/>
        </w:trPr>
        <w:tc>
          <w:tcPr>
            <w:tcW w:w="9054" w:type="dxa"/>
            <w:gridSpan w:val="4"/>
            <w:shd w:val="clear" w:color="auto" w:fill="DBE5F1"/>
            <w:vAlign w:val="center"/>
          </w:tcPr>
          <w:p w:rsidR="000B3A7F"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sidRPr="000B3A7F">
              <w:rPr>
                <w:rFonts w:asciiTheme="minorHAnsi" w:eastAsiaTheme="minorHAnsi" w:hAnsiTheme="minorHAnsi" w:cs="Arial"/>
                <w:b/>
                <w:bCs/>
                <w:color w:val="000000"/>
                <w:szCs w:val="22"/>
                <w:lang w:val="es-EC"/>
              </w:rPr>
              <w:tab/>
              <w:t>Transferencias de capital pagadas (-)</w:t>
            </w:r>
          </w:p>
        </w:tc>
      </w:tr>
      <w:tr w:rsidR="000B3A7F" w:rsidRPr="00080CCB" w:rsidTr="000B3A7F">
        <w:trPr>
          <w:jc w:val="center"/>
        </w:trPr>
        <w:tc>
          <w:tcPr>
            <w:tcW w:w="9054" w:type="dxa"/>
            <w:gridSpan w:val="4"/>
            <w:shd w:val="clear" w:color="auto" w:fill="auto"/>
            <w:vAlign w:val="center"/>
          </w:tcPr>
          <w:p w:rsidR="000B3A7F" w:rsidRPr="008020C1" w:rsidRDefault="004E034B" w:rsidP="00EC106A">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D.9p=</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gastos correspondientes a D.92p y D.99p</m:t>
                    </m:r>
                  </m:e>
                </m:nary>
              </m:oMath>
            </m:oMathPara>
          </w:p>
        </w:tc>
      </w:tr>
      <w:tr w:rsidR="000B3A7F" w:rsidRPr="00080CCB" w:rsidTr="007E7852">
        <w:trPr>
          <w:jc w:val="center"/>
        </w:trPr>
        <w:tc>
          <w:tcPr>
            <w:tcW w:w="9054" w:type="dxa"/>
            <w:gridSpan w:val="4"/>
            <w:shd w:val="clear" w:color="auto" w:fill="DBE5F1"/>
            <w:vAlign w:val="center"/>
          </w:tcPr>
          <w:p w:rsidR="000B3A7F"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0B3A7F" w:rsidRPr="00080CCB" w:rsidTr="000B3A7F">
        <w:trPr>
          <w:jc w:val="center"/>
        </w:trPr>
        <w:tc>
          <w:tcPr>
            <w:tcW w:w="9054" w:type="dxa"/>
            <w:gridSpan w:val="4"/>
            <w:shd w:val="clear" w:color="auto" w:fill="auto"/>
            <w:vAlign w:val="center"/>
          </w:tcPr>
          <w:p w:rsidR="004D6B36" w:rsidRPr="00675E9A" w:rsidRDefault="004D6B36" w:rsidP="00EC2629">
            <w:pPr>
              <w:shd w:val="clear" w:color="auto" w:fill="FFFFFF" w:themeFill="background1"/>
              <w:spacing w:before="120" w:after="120"/>
              <w:jc w:val="center"/>
              <w:rPr>
                <w:sz w:val="20"/>
                <w:szCs w:val="22"/>
                <w:lang w:val="es-PE"/>
              </w:rPr>
            </w:pPr>
            <m:oMathPara>
              <m:oMath>
                <m:r>
                  <w:rPr>
                    <w:rFonts w:ascii="Cambria Math" w:hAnsi="Cambria Math" w:cs="Arial"/>
                    <w:sz w:val="20"/>
                    <w:szCs w:val="22"/>
                    <w:lang w:val="es-PE"/>
                  </w:rPr>
                  <m:t>P.51b=</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gasto  correspondientes a P.51</m:t>
                    </m:r>
                  </m:e>
                </m:nary>
              </m:oMath>
            </m:oMathPara>
          </w:p>
          <w:p w:rsidR="00675E9A" w:rsidRDefault="00675E9A" w:rsidP="00EC2629">
            <w:pPr>
              <w:shd w:val="clear" w:color="auto" w:fill="FFFFFF" w:themeFill="background1"/>
              <w:spacing w:before="120" w:after="120"/>
              <w:jc w:val="center"/>
              <w:rPr>
                <w:b/>
                <w:color w:val="000000"/>
                <w:szCs w:val="22"/>
              </w:rPr>
            </w:pPr>
            <m:oMathPara>
              <m:oMath>
                <m:r>
                  <w:rPr>
                    <w:rFonts w:ascii="Cambria Math" w:hAnsi="Cambria Math" w:cs="Arial"/>
                    <w:sz w:val="20"/>
                    <w:szCs w:val="22"/>
                    <w:lang w:val="es-PE"/>
                  </w:rPr>
                  <m:t>P.51b=</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ingresos correspondientes a P.51</m:t>
                    </m:r>
                  </m:e>
                </m:nary>
              </m:oMath>
            </m:oMathPara>
          </w:p>
          <w:p w:rsidR="00EC2629" w:rsidRPr="00517347" w:rsidRDefault="00EC2629" w:rsidP="00EC2629">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=P.51gasto total-P.51ingreso total</m:t>
              </m:r>
            </m:oMath>
            <w:r>
              <w:rPr>
                <w:rFonts w:asciiTheme="minorHAnsi" w:eastAsiaTheme="minorEastAsia" w:hAnsiTheme="minorHAnsi" w:cs="Arial"/>
                <w:bCs/>
                <w:color w:val="000000"/>
                <w:szCs w:val="22"/>
              </w:rPr>
              <w:t xml:space="preserve">                                                       </w:t>
            </w:r>
          </w:p>
          <w:p w:rsidR="00EC2629" w:rsidRDefault="00EC2629" w:rsidP="00EC262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B3A7F" w:rsidRDefault="00D21358" w:rsidP="00EC2629">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P</w:t>
            </w:r>
            <w:r w:rsidR="00EC2629">
              <w:rPr>
                <w:rFonts w:asciiTheme="minorHAnsi" w:eastAsiaTheme="minorHAnsi" w:hAnsiTheme="minorHAnsi" w:cs="Arial"/>
                <w:bCs/>
                <w:color w:val="000000"/>
                <w:szCs w:val="22"/>
              </w:rPr>
              <w:t>.</w:t>
            </w:r>
            <w:r>
              <w:rPr>
                <w:rFonts w:asciiTheme="minorHAnsi" w:eastAsiaTheme="minorHAnsi" w:hAnsiTheme="minorHAnsi" w:cs="Arial"/>
                <w:bCs/>
                <w:color w:val="000000"/>
                <w:szCs w:val="22"/>
              </w:rPr>
              <w:t>51b</w:t>
            </w:r>
            <w:r w:rsidR="00EC2629">
              <w:rPr>
                <w:rFonts w:asciiTheme="minorHAnsi" w:eastAsiaTheme="minorHAnsi" w:hAnsiTheme="minorHAnsi" w:cs="Arial"/>
                <w:bCs/>
                <w:color w:val="000000"/>
                <w:szCs w:val="22"/>
              </w:rPr>
              <w:t xml:space="preserve"> </w:t>
            </w:r>
            <w:r w:rsidR="00EC2629" w:rsidRPr="009036BF">
              <w:rPr>
                <w:rFonts w:asciiTheme="minorHAnsi" w:eastAsiaTheme="minorHAnsi" w:hAnsiTheme="minorHAnsi" w:cs="Arial"/>
                <w:bCs/>
                <w:color w:val="000000"/>
                <w:szCs w:val="22"/>
              </w:rPr>
              <w:t xml:space="preserve">= </w:t>
            </w:r>
            <w:r w:rsidRPr="00D21358">
              <w:rPr>
                <w:rFonts w:asciiTheme="minorHAnsi" w:eastAsiaTheme="minorHAnsi" w:hAnsiTheme="minorHAnsi" w:cs="Arial"/>
                <w:bCs/>
                <w:color w:val="000000"/>
                <w:szCs w:val="22"/>
                <w:lang w:val="es-EC"/>
              </w:rPr>
              <w:t>Formación bruta de capital fijo</w:t>
            </w:r>
          </w:p>
          <w:p w:rsidR="004944A6" w:rsidRPr="00D21358" w:rsidRDefault="004944A6" w:rsidP="00EC106A">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El valore de la P.51 se obtiene de la diferencia de la Formación bruta de capital fijo de ingresos y gastos.</w:t>
            </w:r>
            <w:r w:rsidR="00EC106A">
              <w:rPr>
                <w:rFonts w:asciiTheme="minorHAnsi" w:eastAsiaTheme="minorHAnsi" w:hAnsiTheme="minorHAnsi" w:cs="Arial"/>
                <w:bCs/>
                <w:color w:val="000000"/>
                <w:szCs w:val="22"/>
                <w:lang w:val="es-EC"/>
              </w:rPr>
              <w:t xml:space="preserve"> Para sociedades no financieras e ISFLSH, a la P.51b de gasto también puede denominársela P.51b del año t (año actual) y la P.51b de ingreso se la denomina P.51b del año t-1 (año anterior), por tanto la variación anual de la P.51b es el valor que se muestra en la cuenta.</w:t>
            </w:r>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w:t>
            </w:r>
            <w:r>
              <w:rPr>
                <w:rFonts w:asciiTheme="minorHAnsi" w:eastAsiaTheme="minorHAnsi" w:hAnsiTheme="minorHAnsi" w:cs="Arial"/>
                <w:b/>
                <w:bCs/>
                <w:color w:val="000000"/>
                <w:szCs w:val="22"/>
                <w:lang w:val="es-EC"/>
              </w:rPr>
              <w:t>1c</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Consumo de capital fijo (-)</w:t>
            </w:r>
          </w:p>
        </w:tc>
      </w:tr>
      <w:tr w:rsidR="000B3A7F" w:rsidRPr="00080CCB" w:rsidTr="000B3A7F">
        <w:trPr>
          <w:jc w:val="center"/>
        </w:trPr>
        <w:tc>
          <w:tcPr>
            <w:tcW w:w="9054" w:type="dxa"/>
            <w:gridSpan w:val="4"/>
            <w:shd w:val="clear" w:color="auto" w:fill="auto"/>
            <w:vAlign w:val="center"/>
          </w:tcPr>
          <w:p w:rsidR="00C640EC" w:rsidRDefault="00C640EC"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 xml:space="preserve">La metodología de cálculo para esta variable se la encuentra en la ficha metodológica de Consumo </w:t>
            </w:r>
            <w:r>
              <w:rPr>
                <w:rFonts w:asciiTheme="minorHAnsi" w:eastAsiaTheme="minorHAnsi" w:hAnsiTheme="minorHAnsi" w:cs="Arial"/>
                <w:bCs/>
                <w:color w:val="000000"/>
                <w:szCs w:val="22"/>
              </w:rPr>
              <w:lastRenderedPageBreak/>
              <w:t>de capital fijo.</w:t>
            </w:r>
          </w:p>
          <w:p w:rsidR="000B3A7F" w:rsidRPr="008020C1" w:rsidRDefault="00D21358"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(La variable P.51c se toma de </w:t>
            </w:r>
            <w:r w:rsidRPr="00D21358">
              <w:rPr>
                <w:rFonts w:asciiTheme="minorHAnsi" w:eastAsiaTheme="minorHAnsi" w:hAnsiTheme="minorHAnsi" w:cs="Arial"/>
                <w:bCs/>
                <w:color w:val="000000"/>
                <w:szCs w:val="22"/>
                <w:lang w:val="es-EC"/>
              </w:rPr>
              <w:t>I. CUENTA DE PRODUCCIÓN</w:t>
            </w:r>
            <w:r>
              <w:rPr>
                <w:rFonts w:asciiTheme="minorHAnsi" w:eastAsiaTheme="minorHAnsi" w:hAnsiTheme="minorHAnsi" w:cs="Arial"/>
                <w:bCs/>
                <w:color w:val="000000"/>
                <w:szCs w:val="22"/>
                <w:lang w:val="es-EC"/>
              </w:rPr>
              <w:t>)</w:t>
            </w:r>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lastRenderedPageBreak/>
              <w:t>P.52</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Variaciones de existencias</w:t>
            </w:r>
          </w:p>
        </w:tc>
      </w:tr>
      <w:tr w:rsidR="000B3A7F" w:rsidRPr="00080CCB" w:rsidTr="000B3A7F">
        <w:trPr>
          <w:jc w:val="center"/>
        </w:trPr>
        <w:tc>
          <w:tcPr>
            <w:tcW w:w="9054" w:type="dxa"/>
            <w:gridSpan w:val="4"/>
            <w:shd w:val="clear" w:color="auto" w:fill="auto"/>
            <w:vAlign w:val="center"/>
          </w:tcPr>
          <w:p w:rsidR="000B3A7F" w:rsidRPr="008020C1" w:rsidRDefault="00C640EC" w:rsidP="00EC106A">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P.52=</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gastos correspondientes a P.52</m:t>
                    </m:r>
                  </m:e>
                </m:nary>
              </m:oMath>
            </m:oMathPara>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P.53 </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0B3A7F" w:rsidRPr="00080CCB" w:rsidTr="000B3A7F">
        <w:trPr>
          <w:jc w:val="center"/>
        </w:trPr>
        <w:tc>
          <w:tcPr>
            <w:tcW w:w="9054" w:type="dxa"/>
            <w:gridSpan w:val="4"/>
            <w:shd w:val="clear" w:color="auto" w:fill="auto"/>
            <w:vAlign w:val="center"/>
          </w:tcPr>
          <w:p w:rsidR="000B3A7F" w:rsidRPr="008020C1" w:rsidRDefault="00C640EC" w:rsidP="00EC106A">
            <w:pPr>
              <w:spacing w:before="120" w:after="120"/>
              <w:jc w:val="both"/>
              <w:rPr>
                <w:rFonts w:asciiTheme="minorHAnsi" w:eastAsiaTheme="minorHAnsi" w:hAnsiTheme="minorHAnsi" w:cs="Arial"/>
                <w:bCs/>
                <w:color w:val="000000"/>
                <w:szCs w:val="22"/>
              </w:rPr>
            </w:pPr>
            <m:oMathPara>
              <m:oMath>
                <m:r>
                  <w:rPr>
                    <w:rFonts w:ascii="Cambria Math" w:hAnsi="Cambria Math" w:cs="Arial"/>
                    <w:sz w:val="20"/>
                    <w:szCs w:val="22"/>
                    <w:lang w:val="es-PE"/>
                  </w:rPr>
                  <m:t>P.53=</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Variables  de la base de gastos correspondientes a P.53</m:t>
                    </m:r>
                  </m:e>
                </m:nary>
              </m:oMath>
            </m:oMathPara>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0B3A7F" w:rsidRPr="00080CCB" w:rsidTr="000B3A7F">
        <w:trPr>
          <w:jc w:val="center"/>
        </w:trPr>
        <w:tc>
          <w:tcPr>
            <w:tcW w:w="9054" w:type="dxa"/>
            <w:gridSpan w:val="4"/>
            <w:shd w:val="clear" w:color="auto" w:fill="auto"/>
            <w:vAlign w:val="center"/>
          </w:tcPr>
          <w:p w:rsidR="000B3A7F" w:rsidRDefault="00D0251C" w:rsidP="00D0251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se presenta solo en el caso de Sociedades no Financieras</w:t>
            </w:r>
            <w:r w:rsidR="00EC106A">
              <w:rPr>
                <w:rFonts w:asciiTheme="minorHAnsi" w:eastAsiaTheme="minorHAnsi" w:hAnsiTheme="minorHAnsi" w:cs="Arial"/>
                <w:bCs/>
                <w:color w:val="000000"/>
                <w:szCs w:val="22"/>
              </w:rPr>
              <w:t xml:space="preserve"> con un valor de 0</w:t>
            </w:r>
            <w:r>
              <w:rPr>
                <w:rFonts w:asciiTheme="minorHAnsi" w:eastAsiaTheme="minorHAnsi" w:hAnsiTheme="minorHAnsi" w:cs="Arial"/>
                <w:bCs/>
                <w:color w:val="000000"/>
                <w:szCs w:val="22"/>
              </w:rPr>
              <w:t>.</w:t>
            </w:r>
          </w:p>
          <w:p w:rsidR="00A315F7" w:rsidRPr="00D0251C" w:rsidRDefault="00A315F7" w:rsidP="00D0251C">
            <w:pPr>
              <w:spacing w:before="120" w:after="120"/>
              <w:jc w:val="both"/>
              <w:rPr>
                <w:sz w:val="20"/>
                <w:szCs w:val="22"/>
              </w:rPr>
            </w:pPr>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0B3A7F" w:rsidRPr="00080CCB" w:rsidTr="000B3A7F">
        <w:trPr>
          <w:jc w:val="center"/>
        </w:trPr>
        <w:tc>
          <w:tcPr>
            <w:tcW w:w="9054" w:type="dxa"/>
            <w:gridSpan w:val="4"/>
            <w:shd w:val="clear" w:color="auto" w:fill="auto"/>
            <w:vAlign w:val="center"/>
          </w:tcPr>
          <w:p w:rsidR="00AF1749" w:rsidRPr="0018477A" w:rsidRDefault="00A315F7" w:rsidP="00AF1749">
            <w:pPr>
              <w:shd w:val="clear" w:color="auto" w:fill="FFFFFF" w:themeFill="background1"/>
              <w:spacing w:before="120" w:after="120"/>
              <w:jc w:val="center"/>
              <w:rPr>
                <w:color w:val="000000"/>
                <w:szCs w:val="22"/>
                <w:lang w:val="en-US"/>
              </w:rPr>
            </w:pPr>
            <w:r>
              <w:rPr>
                <w:b/>
                <w:noProof/>
                <w:color w:val="000000"/>
                <w:sz w:val="6"/>
                <w:szCs w:val="22"/>
                <w:lang w:val="es-EC" w:eastAsia="es-EC"/>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style="position:absolute;left:0;text-align:left;margin-left:291.1pt;margin-top:-60.45pt;width:9.9pt;height:171.8pt;rotation:270;z-index:251660288;mso-position-horizontal-relative:text;mso-position-vertical-relative:text"/>
              </w:pict>
            </w:r>
            <w:r>
              <w:rPr>
                <w:b/>
                <w:noProof/>
                <w:color w:val="000000"/>
                <w:sz w:val="6"/>
                <w:szCs w:val="22"/>
                <w:lang w:val="es-EC" w:eastAsia="es-EC"/>
              </w:rPr>
              <w:pict>
                <v:shape id="_x0000_s1026" type="#_x0000_t87" style="position:absolute;left:0;text-align:left;margin-left:141.8pt;margin-top:-23.3pt;width:4.95pt;height:97.35pt;rotation:270;z-index:251659264;mso-position-horizontal-relative:text;mso-position-vertical-relative:text"/>
              </w:pict>
            </w:r>
            <w:r w:rsidR="00AF1749"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AF1749" w:rsidRPr="00AF1749" w:rsidRDefault="00AF1749" w:rsidP="00AF1749">
            <w:pPr>
              <w:shd w:val="clear" w:color="auto" w:fill="FFFFFF" w:themeFill="background1"/>
              <w:spacing w:before="120" w:after="120"/>
              <w:jc w:val="center"/>
              <w:rPr>
                <w:color w:val="000000"/>
                <w:sz w:val="2"/>
                <w:szCs w:val="22"/>
                <w:lang w:val="en-US"/>
              </w:rPr>
            </w:pPr>
          </w:p>
          <w:p w:rsidR="00AF1749" w:rsidRPr="009F021A" w:rsidRDefault="00AF1749" w:rsidP="00AF1749">
            <w:pPr>
              <w:shd w:val="clear" w:color="auto" w:fill="FFFFFF" w:themeFill="background1"/>
              <w:spacing w:before="120" w:after="120"/>
              <w:rPr>
                <w:color w:val="000000"/>
                <w:szCs w:val="22"/>
                <w:lang w:val="es-EC"/>
              </w:rPr>
            </w:pPr>
            <w:r w:rsidRPr="0018477A">
              <w:rPr>
                <w:rFonts w:asciiTheme="minorHAnsi" w:eastAsiaTheme="minorEastAsia" w:hAnsiTheme="minorHAnsi" w:cs="Arial"/>
                <w:bCs/>
                <w:color w:val="000000"/>
                <w:szCs w:val="22"/>
                <w:lang w:val="en-US"/>
              </w:rPr>
              <w:t xml:space="preserve">                                   </w:t>
            </w:r>
            <w:r w:rsidRPr="0018477A">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AF1749" w:rsidRDefault="00AF1749" w:rsidP="00AF174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AF1749" w:rsidRDefault="000125E5"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B.9</w:t>
            </w:r>
            <w:r w:rsidR="00AF1749">
              <w:rPr>
                <w:rFonts w:asciiTheme="minorHAnsi" w:eastAsiaTheme="minorHAnsi" w:hAnsiTheme="minorHAnsi" w:cs="Arial"/>
                <w:bCs/>
                <w:color w:val="000000"/>
                <w:szCs w:val="22"/>
              </w:rPr>
              <w:t xml:space="preserve">  </w:t>
            </w:r>
            <w:r w:rsidR="00D423CB">
              <w:rPr>
                <w:rFonts w:asciiTheme="minorHAnsi" w:eastAsiaTheme="minorHAnsi" w:hAnsiTheme="minorHAnsi" w:cs="Arial"/>
                <w:bCs/>
                <w:color w:val="000000"/>
                <w:szCs w:val="22"/>
              </w:rPr>
              <w:t xml:space="preserve">   </w:t>
            </w:r>
            <w:r w:rsidR="00AF1749">
              <w:rPr>
                <w:rFonts w:asciiTheme="minorHAnsi" w:eastAsiaTheme="minorHAnsi" w:hAnsiTheme="minorHAnsi" w:cs="Arial"/>
                <w:bCs/>
                <w:color w:val="000000"/>
                <w:szCs w:val="22"/>
              </w:rPr>
              <w:t xml:space="preserve">= </w:t>
            </w:r>
            <w:r w:rsidRPr="000125E5">
              <w:rPr>
                <w:rFonts w:asciiTheme="minorHAnsi" w:eastAsiaTheme="minorHAnsi" w:hAnsiTheme="minorHAnsi" w:cs="Arial"/>
                <w:bCs/>
                <w:color w:val="000000"/>
                <w:szCs w:val="22"/>
              </w:rPr>
              <w:t>Préstamo neto / endeudamiento neto</w:t>
            </w:r>
          </w:p>
          <w:p w:rsidR="000125E5"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B.8n   = Ahorro neto</w:t>
            </w:r>
          </w:p>
          <w:p w:rsidR="00D423CB"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D.9r   = </w:t>
            </w:r>
            <w:r w:rsidRPr="00D423CB">
              <w:rPr>
                <w:rFonts w:asciiTheme="minorHAnsi" w:eastAsiaTheme="minorHAnsi" w:hAnsiTheme="minorHAnsi" w:cs="Arial"/>
                <w:bCs/>
                <w:color w:val="000000"/>
                <w:szCs w:val="22"/>
              </w:rPr>
              <w:t>Transferencias de capital recibidas</w:t>
            </w:r>
          </w:p>
          <w:p w:rsidR="00D423CB" w:rsidRPr="00D423CB" w:rsidRDefault="00D423CB" w:rsidP="00D423CB">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D.9p   = </w:t>
            </w:r>
            <w:r w:rsidRPr="00D423CB">
              <w:rPr>
                <w:rFonts w:asciiTheme="minorHAnsi" w:eastAsiaTheme="minorHAnsi" w:hAnsiTheme="minorHAnsi" w:cs="Arial"/>
                <w:bCs/>
                <w:color w:val="000000"/>
                <w:szCs w:val="22"/>
              </w:rPr>
              <w:t>Transferencias de capital pagadas (-)</w:t>
            </w:r>
          </w:p>
          <w:p w:rsidR="000B3A7F" w:rsidRDefault="00D423CB" w:rsidP="00AF1749">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P.51b</w:t>
            </w:r>
            <w:r>
              <w:rPr>
                <w:rFonts w:asciiTheme="minorHAnsi" w:eastAsiaTheme="minorHAnsi" w:hAnsiTheme="minorHAnsi" w:cs="Arial"/>
                <w:bCs/>
                <w:color w:val="000000"/>
                <w:szCs w:val="22"/>
              </w:rPr>
              <w:t xml:space="preserve"> = </w:t>
            </w:r>
            <w:r w:rsidRPr="00D423CB">
              <w:rPr>
                <w:rFonts w:asciiTheme="minorHAnsi" w:eastAsiaTheme="minorHAnsi" w:hAnsiTheme="minorHAnsi" w:cs="Arial"/>
                <w:bCs/>
                <w:color w:val="000000"/>
                <w:szCs w:val="22"/>
              </w:rPr>
              <w:t>Formación bruta de capital fijo</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w:t>
            </w:r>
            <w:r>
              <w:rPr>
                <w:rFonts w:asciiTheme="minorHAnsi" w:eastAsiaTheme="minorHAnsi" w:hAnsiTheme="minorHAnsi" w:cs="Arial"/>
                <w:bCs/>
                <w:color w:val="000000"/>
                <w:szCs w:val="22"/>
              </w:rPr>
              <w:t xml:space="preserve">c = </w:t>
            </w:r>
            <w:r w:rsidRPr="00D423CB">
              <w:rPr>
                <w:rFonts w:asciiTheme="minorHAnsi" w:eastAsiaTheme="minorHAnsi" w:hAnsiTheme="minorHAnsi" w:cs="Arial"/>
                <w:bCs/>
                <w:color w:val="000000"/>
                <w:szCs w:val="22"/>
              </w:rPr>
              <w:t>Consumo de capital fijo (-)</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2   = </w:t>
            </w:r>
            <w:r w:rsidRPr="00D423CB">
              <w:rPr>
                <w:rFonts w:asciiTheme="minorHAnsi" w:eastAsiaTheme="minorHAnsi" w:hAnsiTheme="minorHAnsi" w:cs="Arial"/>
                <w:bCs/>
                <w:color w:val="000000"/>
                <w:szCs w:val="22"/>
              </w:rPr>
              <w:t>Variaciones de existencias</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3   = </w:t>
            </w:r>
            <w:r w:rsidRPr="00D423CB">
              <w:rPr>
                <w:rFonts w:asciiTheme="minorHAnsi" w:eastAsiaTheme="minorHAnsi" w:hAnsiTheme="minorHAnsi" w:cs="Arial"/>
                <w:bCs/>
                <w:color w:val="000000"/>
                <w:szCs w:val="22"/>
              </w:rPr>
              <w:t>Adquisiciones menos disposiciones de objetos valiosos</w:t>
            </w:r>
          </w:p>
          <w:p w:rsidR="0025612F" w:rsidRDefault="00D423CB" w:rsidP="00E0227D">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NP      = </w:t>
            </w:r>
            <w:r w:rsidRPr="00D423CB">
              <w:rPr>
                <w:rFonts w:asciiTheme="minorHAnsi" w:eastAsiaTheme="minorHAnsi" w:hAnsiTheme="minorHAnsi" w:cs="Arial"/>
                <w:bCs/>
                <w:color w:val="000000"/>
                <w:szCs w:val="22"/>
              </w:rPr>
              <w:t>Adquisición menos disposiciones de activos no financieros no producidos</w:t>
            </w:r>
          </w:p>
          <w:p w:rsidR="00A315F7" w:rsidRPr="0025612F" w:rsidRDefault="00A315F7" w:rsidP="00E0227D">
            <w:pPr>
              <w:spacing w:before="120" w:after="120"/>
              <w:jc w:val="both"/>
              <w:rPr>
                <w:rFonts w:asciiTheme="minorHAnsi" w:eastAsiaTheme="minorHAnsi" w:hAnsiTheme="minorHAnsi" w:cs="Arial"/>
                <w:bCs/>
                <w:color w:val="000000"/>
                <w:szCs w:val="22"/>
              </w:rPr>
            </w:pPr>
          </w:p>
        </w:tc>
      </w:tr>
      <w:tr w:rsidR="000B3A7F" w:rsidRPr="00080CCB" w:rsidTr="007E7852">
        <w:trPr>
          <w:jc w:val="center"/>
        </w:trPr>
        <w:tc>
          <w:tcPr>
            <w:tcW w:w="9054" w:type="dxa"/>
            <w:gridSpan w:val="4"/>
            <w:shd w:val="clear" w:color="auto" w:fill="DBE5F1"/>
            <w:vAlign w:val="center"/>
          </w:tcPr>
          <w:p w:rsidR="000B3A7F" w:rsidRPr="00410A0A" w:rsidRDefault="000B3A7F" w:rsidP="00DC5743">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5. DEFINICIÓN DE LAS VARIABLES RELACIONADAS</w:t>
            </w:r>
          </w:p>
        </w:tc>
      </w:tr>
      <w:tr w:rsidR="00D53653" w:rsidRPr="00080CCB" w:rsidTr="007E7852">
        <w:trPr>
          <w:jc w:val="center"/>
        </w:trPr>
        <w:tc>
          <w:tcPr>
            <w:tcW w:w="9054" w:type="dxa"/>
            <w:gridSpan w:val="4"/>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716"/>
              <w:gridCol w:w="6229"/>
            </w:tblGrid>
            <w:tr w:rsidR="00D53653" w:rsidRPr="0025612F" w:rsidTr="00991196">
              <w:trPr>
                <w:trHeight w:hRule="exact" w:val="1050"/>
                <w:tblHeader/>
              </w:trPr>
              <w:tc>
                <w:tcPr>
                  <w:tcW w:w="500"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Código SCN 2008</w:t>
                  </w:r>
                </w:p>
              </w:tc>
              <w:tc>
                <w:tcPr>
                  <w:tcW w:w="972"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Transacción</w:t>
                  </w:r>
                </w:p>
              </w:tc>
              <w:tc>
                <w:tcPr>
                  <w:tcW w:w="3528"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Descripción</w:t>
                  </w:r>
                </w:p>
              </w:tc>
            </w:tr>
            <w:tr w:rsidR="00566D13" w:rsidRPr="0025612F" w:rsidTr="00D44900">
              <w:trPr>
                <w:trHeight w:val="156"/>
              </w:trPr>
              <w:tc>
                <w:tcPr>
                  <w:tcW w:w="500"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B.8n </w:t>
                  </w:r>
                </w:p>
              </w:tc>
              <w:tc>
                <w:tcPr>
                  <w:tcW w:w="972"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Ahorro neto </w:t>
                  </w:r>
                </w:p>
              </w:tc>
              <w:tc>
                <w:tcPr>
                  <w:tcW w:w="3528" w:type="pct"/>
                  <w:shd w:val="clear" w:color="auto" w:fill="FFFFFF" w:themeFill="background1"/>
                </w:tcPr>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El ahorro es el saldo contable en las dos cuentas de utilización del ingreso. Su valor es el mismo tanto si se obtiene restando los gastos de consumo final del ingreso disponible, como si se obtiene restando el consumo final efectivo del ingreso disponible ajustado (en ambos casos, después de hacer el ajuste por la variación de los derechos de pensión descrita anteriormente).</w:t>
                  </w:r>
                </w:p>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representa </w:t>
                  </w:r>
                  <w:r>
                    <w:rPr>
                      <w:rFonts w:asciiTheme="minorHAnsi" w:eastAsiaTheme="minorHAnsi" w:hAnsiTheme="minorHAnsi" w:cs="Arial"/>
                      <w:bCs/>
                      <w:color w:val="000000"/>
                      <w:sz w:val="22"/>
                      <w:szCs w:val="22"/>
                    </w:rPr>
                    <w:t xml:space="preserve">la parte del ingreso disponible </w:t>
                  </w:r>
                  <w:r w:rsidRPr="0015678B">
                    <w:rPr>
                      <w:rFonts w:asciiTheme="minorHAnsi" w:eastAsiaTheme="minorHAnsi" w:hAnsiTheme="minorHAnsi" w:cs="Arial"/>
                      <w:bCs/>
                      <w:color w:val="000000"/>
                      <w:sz w:val="22"/>
                      <w:szCs w:val="22"/>
                    </w:rPr>
                    <w:t>(ajustado por la variac</w:t>
                  </w:r>
                  <w:r>
                    <w:rPr>
                      <w:rFonts w:asciiTheme="minorHAnsi" w:eastAsiaTheme="minorHAnsi" w:hAnsiTheme="minorHAnsi" w:cs="Arial"/>
                      <w:bCs/>
                      <w:color w:val="000000"/>
                      <w:sz w:val="22"/>
                      <w:szCs w:val="22"/>
                    </w:rPr>
                    <w:t xml:space="preserve">ión en los derechos de pensión) </w:t>
                  </w:r>
                  <w:r w:rsidRPr="0015678B">
                    <w:rPr>
                      <w:rFonts w:asciiTheme="minorHAnsi" w:eastAsiaTheme="minorHAnsi" w:hAnsiTheme="minorHAnsi" w:cs="Arial"/>
                      <w:bCs/>
                      <w:color w:val="000000"/>
                      <w:sz w:val="22"/>
                      <w:szCs w:val="22"/>
                    </w:rPr>
                    <w:t>que no se gasta en bienes y servicios de consumo final.</w:t>
                  </w:r>
                </w:p>
                <w:p w:rsidR="00D44900"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Puede ser positivo o</w:t>
                  </w:r>
                  <w:r>
                    <w:rPr>
                      <w:rFonts w:asciiTheme="minorHAnsi" w:eastAsiaTheme="minorHAnsi" w:hAnsiTheme="minorHAnsi" w:cs="Arial"/>
                      <w:bCs/>
                      <w:color w:val="000000"/>
                      <w:sz w:val="22"/>
                      <w:szCs w:val="22"/>
                    </w:rPr>
                    <w:t xml:space="preserve"> negativo, según que el ingreso </w:t>
                  </w:r>
                  <w:r w:rsidRPr="0015678B">
                    <w:rPr>
                      <w:rFonts w:asciiTheme="minorHAnsi" w:eastAsiaTheme="minorHAnsi" w:hAnsiTheme="minorHAnsi" w:cs="Arial"/>
                      <w:bCs/>
                      <w:color w:val="000000"/>
                      <w:sz w:val="22"/>
                      <w:szCs w:val="22"/>
                    </w:rPr>
                    <w:t>disponible supere a</w:t>
                  </w:r>
                  <w:r>
                    <w:rPr>
                      <w:rFonts w:asciiTheme="minorHAnsi" w:eastAsiaTheme="minorHAnsi" w:hAnsiTheme="minorHAnsi" w:cs="Arial"/>
                      <w:bCs/>
                      <w:color w:val="000000"/>
                      <w:sz w:val="22"/>
                      <w:szCs w:val="22"/>
                    </w:rPr>
                    <w:t xml:space="preserve"> los gastos de consumo final, o </w:t>
                  </w:r>
                  <w:r w:rsidRPr="0015678B">
                    <w:rPr>
                      <w:rFonts w:asciiTheme="minorHAnsi" w:eastAsiaTheme="minorHAnsi" w:hAnsiTheme="minorHAnsi" w:cs="Arial"/>
                      <w:bCs/>
                      <w:color w:val="000000"/>
                      <w:sz w:val="22"/>
                      <w:szCs w:val="22"/>
                    </w:rPr>
                    <w:t xml:space="preserve">viceversa.  </w:t>
                  </w:r>
                </w:p>
                <w:p w:rsidR="00566D13" w:rsidRPr="0025612F" w:rsidRDefault="00D44900" w:rsidP="00D44900">
                  <w:pPr>
                    <w:shd w:val="clear" w:color="auto" w:fill="FFFFFF" w:themeFill="background1"/>
                    <w:spacing w:before="120" w:after="120"/>
                    <w:rPr>
                      <w:rFonts w:asciiTheme="minorHAnsi" w:hAnsiTheme="minorHAnsi"/>
                      <w:szCs w:val="22"/>
                    </w:rPr>
                  </w:pPr>
                  <w:r w:rsidRPr="00636005">
                    <w:rPr>
                      <w:rFonts w:asciiTheme="minorHAnsi" w:eastAsiaTheme="minorHAnsi" w:hAnsiTheme="minorHAnsi" w:cs="Arial"/>
                      <w:bCs/>
                      <w:color w:val="000000"/>
                      <w:sz w:val="22"/>
                      <w:szCs w:val="22"/>
                    </w:rPr>
                    <w:t>(</w:t>
                  </w:r>
                  <w:r w:rsidRPr="00C16AFB">
                    <w:rPr>
                      <w:rFonts w:asciiTheme="minorHAnsi" w:eastAsiaTheme="minorHAnsi" w:hAnsiTheme="minorHAnsi" w:cs="Arial"/>
                      <w:bCs/>
                      <w:color w:val="000000"/>
                      <w:sz w:val="22"/>
                      <w:szCs w:val="22"/>
                    </w:rPr>
                    <w:t>SCN 2008, 9.26 - 9.27 - 9.28)</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D.9r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recibidas</w:t>
                  </w:r>
                </w:p>
              </w:tc>
              <w:tc>
                <w:tcPr>
                  <w:tcW w:w="3528" w:type="pct"/>
                  <w:shd w:val="clear" w:color="auto" w:fill="FFFFFF" w:themeFill="background1"/>
                </w:tcPr>
                <w:p w:rsidR="000B3A7F" w:rsidRDefault="00D076DC"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sidR="009822CB">
                    <w:rPr>
                      <w:rFonts w:asciiTheme="minorHAnsi" w:hAnsiTheme="minorHAnsi"/>
                      <w:sz w:val="22"/>
                      <w:szCs w:val="22"/>
                    </w:rPr>
                    <w:t xml:space="preserve"> (SCN 2008, 10.204)</w:t>
                  </w:r>
                </w:p>
                <w:p w:rsidR="00D076DC" w:rsidRPr="0025612F" w:rsidRDefault="009822CB" w:rsidP="00E37032">
                  <w:pPr>
                    <w:spacing w:before="120" w:after="120"/>
                    <w:jc w:val="both"/>
                    <w:rPr>
                      <w:rFonts w:asciiTheme="minorHAnsi" w:hAnsiTheme="minorHAnsi"/>
                      <w:szCs w:val="22"/>
                    </w:rPr>
                  </w:pPr>
                  <w:r>
                    <w:rPr>
                      <w:rFonts w:asciiTheme="minorHAnsi" w:hAnsiTheme="minorHAnsi"/>
                      <w:sz w:val="22"/>
                      <w:szCs w:val="22"/>
                    </w:rPr>
                    <w:t>(…) l</w:t>
                  </w:r>
                  <w:r w:rsidR="00D076DC" w:rsidRPr="009822CB">
                    <w:rPr>
                      <w:rFonts w:asciiTheme="minorHAnsi" w:hAnsiTheme="minorHAnsi"/>
                      <w:sz w:val="22"/>
                      <w:szCs w:val="22"/>
                    </w:rPr>
                    <w:t>as</w:t>
                  </w:r>
                  <w:r w:rsidRPr="009822CB">
                    <w:rPr>
                      <w:rFonts w:asciiTheme="minorHAnsi" w:hAnsiTheme="minorHAnsi"/>
                      <w:sz w:val="22"/>
                      <w:szCs w:val="22"/>
                    </w:rPr>
                    <w:t xml:space="preserve"> </w:t>
                  </w:r>
                  <w:r w:rsidR="00D076DC" w:rsidRPr="009822CB">
                    <w:rPr>
                      <w:rFonts w:asciiTheme="minorHAnsi" w:hAnsiTheme="minorHAnsi"/>
                      <w:sz w:val="22"/>
                      <w:szCs w:val="22"/>
                    </w:rPr>
                    <w:t>transferencias de capital por cobrar y por pagar se</w:t>
                  </w:r>
                  <w:r w:rsidRPr="009822CB">
                    <w:rPr>
                      <w:rFonts w:asciiTheme="minorHAnsi" w:hAnsiTheme="minorHAnsi"/>
                      <w:sz w:val="22"/>
                      <w:szCs w:val="22"/>
                    </w:rPr>
                    <w:t xml:space="preserve"> </w:t>
                  </w:r>
                  <w:r w:rsidR="00D076DC" w:rsidRPr="009822CB">
                    <w:rPr>
                      <w:rFonts w:asciiTheme="minorHAnsi" w:hAnsiTheme="minorHAnsi"/>
                      <w:sz w:val="22"/>
                      <w:szCs w:val="22"/>
                    </w:rPr>
                    <w:t>cancelan entre sí en la misma forma en que lo hacen</w:t>
                  </w:r>
                  <w:r w:rsidRPr="009822CB">
                    <w:rPr>
                      <w:rFonts w:asciiTheme="minorHAnsi" w:hAnsiTheme="minorHAnsi"/>
                      <w:sz w:val="22"/>
                      <w:szCs w:val="22"/>
                    </w:rPr>
                    <w:t xml:space="preserve"> </w:t>
                  </w:r>
                  <w:r w:rsidR="00D076DC" w:rsidRPr="009822CB">
                    <w:rPr>
                      <w:rFonts w:asciiTheme="minorHAnsi" w:hAnsiTheme="minorHAnsi"/>
                      <w:sz w:val="22"/>
                      <w:szCs w:val="22"/>
                    </w:rPr>
                    <w:t>las rentas de la propiedad y las transferencias</w:t>
                  </w:r>
                  <w:r w:rsidRPr="009822CB">
                    <w:rPr>
                      <w:rFonts w:asciiTheme="minorHAnsi" w:hAnsiTheme="minorHAnsi"/>
                      <w:sz w:val="22"/>
                      <w:szCs w:val="22"/>
                    </w:rPr>
                    <w:t xml:space="preserve"> </w:t>
                  </w:r>
                  <w:r w:rsidR="00D076DC" w:rsidRPr="009822CB">
                    <w:rPr>
                      <w:rFonts w:asciiTheme="minorHAnsi" w:hAnsiTheme="minorHAnsi"/>
                      <w:sz w:val="22"/>
                      <w:szCs w:val="22"/>
                    </w:rPr>
                    <w:t>corrientes</w:t>
                  </w:r>
                  <w:r>
                    <w:rPr>
                      <w:rFonts w:asciiTheme="minorHAnsi" w:hAnsiTheme="minorHAnsi"/>
                      <w:sz w:val="22"/>
                      <w:szCs w:val="22"/>
                    </w:rPr>
                    <w:t>(…) (SCN 2008, 16.18)</w:t>
                  </w:r>
                  <w:r w:rsidR="00D076DC" w:rsidRPr="009822CB">
                    <w:rPr>
                      <w:rFonts w:asciiTheme="minorHAnsi" w:hAnsiTheme="minorHAnsi"/>
                      <w:sz w:val="22"/>
                      <w:szCs w:val="22"/>
                    </w:rPr>
                    <w:t xml:space="preserve"> </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D.9p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pagadas (-)</w:t>
                  </w:r>
                </w:p>
              </w:tc>
              <w:tc>
                <w:tcPr>
                  <w:tcW w:w="3528" w:type="pct"/>
                  <w:shd w:val="clear" w:color="auto" w:fill="FFFFFF" w:themeFill="background1"/>
                </w:tcPr>
                <w:p w:rsidR="00E37032" w:rsidRDefault="00E37032"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Pr>
                      <w:rFonts w:asciiTheme="minorHAnsi" w:hAnsiTheme="minorHAnsi"/>
                      <w:sz w:val="22"/>
                      <w:szCs w:val="22"/>
                    </w:rPr>
                    <w:t xml:space="preserve"> (SCN 2008, 10.204)</w:t>
                  </w:r>
                </w:p>
                <w:p w:rsidR="000B3A7F" w:rsidRPr="0025612F" w:rsidRDefault="00E37032" w:rsidP="00E37032">
                  <w:pPr>
                    <w:spacing w:before="120" w:after="120"/>
                    <w:jc w:val="both"/>
                    <w:rPr>
                      <w:rFonts w:asciiTheme="minorHAnsi" w:hAnsiTheme="minorHAnsi"/>
                      <w:szCs w:val="22"/>
                    </w:rPr>
                  </w:pPr>
                  <w:r>
                    <w:rPr>
                      <w:rFonts w:asciiTheme="minorHAnsi" w:hAnsiTheme="minorHAnsi"/>
                      <w:sz w:val="22"/>
                      <w:szCs w:val="22"/>
                    </w:rPr>
                    <w:t>(…) l</w:t>
                  </w:r>
                  <w:r w:rsidRPr="009822CB">
                    <w:rPr>
                      <w:rFonts w:asciiTheme="minorHAnsi" w:hAnsiTheme="minorHAnsi"/>
                      <w:sz w:val="22"/>
                      <w:szCs w:val="22"/>
                    </w:rPr>
                    <w:t>as transferencias de capital por cobrar y por pagar se cancelan entre sí en la misma forma en que lo hacen las rentas de la propiedad y las transferencias corrientes</w:t>
                  </w:r>
                  <w:r>
                    <w:rPr>
                      <w:rFonts w:asciiTheme="minorHAnsi" w:hAnsiTheme="minorHAnsi"/>
                      <w:sz w:val="22"/>
                      <w:szCs w:val="22"/>
                    </w:rPr>
                    <w:t>(…) (SCN 2008, 16.18)</w:t>
                  </w:r>
                </w:p>
              </w:tc>
            </w:tr>
            <w:tr w:rsidR="000B3A7F" w:rsidRPr="0025612F" w:rsidTr="00983BC7">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P.51b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Formación bruta de capital fijo</w:t>
                  </w:r>
                </w:p>
              </w:tc>
              <w:tc>
                <w:tcPr>
                  <w:tcW w:w="3528" w:type="pct"/>
                  <w:shd w:val="clear" w:color="auto" w:fill="FFFFFF" w:themeFill="background1"/>
                </w:tcPr>
                <w:p w:rsidR="000B3A7F" w:rsidRPr="00983BC7" w:rsidRDefault="00983BC7" w:rsidP="00983BC7">
                  <w:pPr>
                    <w:spacing w:before="120" w:after="120"/>
                    <w:jc w:val="both"/>
                    <w:rPr>
                      <w:rFonts w:asciiTheme="minorHAnsi" w:hAnsiTheme="minorHAnsi"/>
                      <w:szCs w:val="22"/>
                    </w:rPr>
                  </w:pPr>
                  <w:r w:rsidRPr="00983BC7">
                    <w:rPr>
                      <w:rFonts w:asciiTheme="minorHAnsi" w:hAnsiTheme="minorHAnsi"/>
                      <w:sz w:val="22"/>
                      <w:szCs w:val="22"/>
                    </w:rPr>
                    <w:t>La formación bruta de capital fijo se mide por el valor total de las adquisiciones menos las disposiciones, de activos fijos efectuadas por el productor durante el período contable más ciertos gastos específicos en servicios que incrementan el valor de los activos no producidos.</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32</w:t>
                  </w:r>
                  <w:r w:rsidRPr="00B103A4">
                    <w:rPr>
                      <w:rFonts w:asciiTheme="minorHAnsi" w:hAnsiTheme="minorHAnsi"/>
                      <w:sz w:val="22"/>
                      <w:szCs w:val="22"/>
                    </w:rPr>
                    <w:t>)</w:t>
                  </w:r>
                </w:p>
              </w:tc>
            </w:tr>
            <w:tr w:rsidR="000B3A7F" w:rsidRPr="0025612F" w:rsidTr="0018477A">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lastRenderedPageBreak/>
                    <w:t xml:space="preserve">P.51c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Consumo de capital fijo (-)</w:t>
                  </w:r>
                </w:p>
              </w:tc>
              <w:tc>
                <w:tcPr>
                  <w:tcW w:w="3528" w:type="pct"/>
                  <w:shd w:val="clear" w:color="auto" w:fill="FFFFFF" w:themeFill="background1"/>
                </w:tcPr>
                <w:p w:rsidR="000B3A7F" w:rsidRPr="0025612F" w:rsidRDefault="0018477A" w:rsidP="0018477A">
                  <w:pPr>
                    <w:spacing w:before="120" w:after="120"/>
                    <w:rPr>
                      <w:rFonts w:asciiTheme="minorHAnsi" w:hAnsiTheme="minorHAnsi"/>
                      <w:szCs w:val="22"/>
                    </w:rPr>
                  </w:pPr>
                  <w:r w:rsidRPr="00B103A4">
                    <w:rPr>
                      <w:rFonts w:asciiTheme="minorHAnsi" w:hAnsiTheme="minorHAnsi"/>
                      <w:sz w:val="22"/>
                      <w:szCs w:val="22"/>
                    </w:rPr>
                    <w:t>El consumo de capital fijo es la declinación, durante el período contable, del valor corriente del stock de activos fijos que posee y que utiliza un productor, como consecuencia del deterioro físico, de la obsolescencia normal o de daños accidentales normales.</w:t>
                  </w:r>
                  <w:r w:rsidR="00D7232B" w:rsidRPr="00B103A4">
                    <w:rPr>
                      <w:rFonts w:asciiTheme="minorHAnsi" w:hAnsiTheme="minorHAnsi"/>
                      <w:sz w:val="22"/>
                      <w:szCs w:val="22"/>
                    </w:rPr>
                    <w:t xml:space="preserve"> (S</w:t>
                  </w:r>
                  <w:r w:rsidR="00A87C60" w:rsidRPr="00B103A4">
                    <w:rPr>
                      <w:rFonts w:asciiTheme="minorHAnsi" w:hAnsiTheme="minorHAnsi"/>
                      <w:sz w:val="22"/>
                      <w:szCs w:val="22"/>
                    </w:rPr>
                    <w:t>CN</w:t>
                  </w:r>
                  <w:r w:rsidR="00D7232B" w:rsidRPr="00B103A4">
                    <w:rPr>
                      <w:rFonts w:asciiTheme="minorHAnsi" w:hAnsiTheme="minorHAnsi"/>
                      <w:sz w:val="22"/>
                      <w:szCs w:val="22"/>
                    </w:rPr>
                    <w:t xml:space="preserve"> 2008</w:t>
                  </w:r>
                  <w:r w:rsidR="00A87C60" w:rsidRPr="00B103A4">
                    <w:rPr>
                      <w:rFonts w:asciiTheme="minorHAnsi" w:hAnsiTheme="minorHAnsi"/>
                      <w:sz w:val="22"/>
                      <w:szCs w:val="22"/>
                    </w:rPr>
                    <w:t>,</w:t>
                  </w:r>
                  <w:r w:rsidR="00D7232B" w:rsidRPr="00B103A4">
                    <w:rPr>
                      <w:rFonts w:asciiTheme="minorHAnsi" w:hAnsiTheme="minorHAnsi"/>
                      <w:sz w:val="22"/>
                      <w:szCs w:val="22"/>
                    </w:rPr>
                    <w:t xml:space="preserve"> 10.25)</w:t>
                  </w:r>
                </w:p>
              </w:tc>
            </w:tr>
            <w:tr w:rsidR="000B3A7F" w:rsidRPr="0025612F" w:rsidTr="0032294E">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P.52</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Variaciones de existencias</w:t>
                  </w:r>
                </w:p>
              </w:tc>
              <w:tc>
                <w:tcPr>
                  <w:tcW w:w="3528" w:type="pct"/>
                  <w:shd w:val="clear" w:color="auto" w:fill="FFFFFF" w:themeFill="background1"/>
                </w:tcPr>
                <w:p w:rsidR="000B3A7F" w:rsidRPr="0032294E" w:rsidRDefault="0032294E" w:rsidP="0032294E">
                  <w:pPr>
                    <w:spacing w:before="120" w:after="120"/>
                    <w:jc w:val="both"/>
                    <w:rPr>
                      <w:rFonts w:asciiTheme="minorHAnsi" w:hAnsiTheme="minorHAnsi"/>
                      <w:szCs w:val="22"/>
                    </w:rPr>
                  </w:pPr>
                  <w:r w:rsidRPr="0032294E">
                    <w:rPr>
                      <w:rFonts w:asciiTheme="minorHAnsi" w:hAnsiTheme="minorHAnsi"/>
                      <w:sz w:val="22"/>
                      <w:szCs w:val="22"/>
                      <w:lang w:val="es-EC"/>
                    </w:rPr>
                    <w:t xml:space="preserve">Las </w:t>
                  </w:r>
                  <w:r w:rsidRPr="0032294E">
                    <w:rPr>
                      <w:rFonts w:asciiTheme="minorHAnsi" w:hAnsiTheme="minorHAnsi"/>
                      <w:sz w:val="22"/>
                      <w:szCs w:val="22"/>
                    </w:rPr>
                    <w:t>variaciones de existencias, se miden por el valor de las entradas que ingresan en las existencias menos el valor de las salidas y el valor de cualquier pérdida ordinaria de bienes mantenidos en existencias durante el periodo contable.</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118</w:t>
                  </w:r>
                  <w:r w:rsidRPr="00B103A4">
                    <w:rPr>
                      <w:rFonts w:asciiTheme="minorHAnsi" w:hAnsiTheme="minorHAnsi"/>
                      <w:sz w:val="22"/>
                      <w:szCs w:val="22"/>
                    </w:rPr>
                    <w:t>)</w:t>
                  </w:r>
                </w:p>
              </w:tc>
            </w:tr>
            <w:tr w:rsidR="000B3A7F" w:rsidRPr="0025612F" w:rsidTr="004045C8">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P.53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Adquisiciones menos disposiciones de objetos valiosos</w:t>
                  </w:r>
                </w:p>
              </w:tc>
              <w:tc>
                <w:tcPr>
                  <w:tcW w:w="3528" w:type="pct"/>
                  <w:shd w:val="clear" w:color="auto" w:fill="FFFFFF" w:themeFill="background1"/>
                </w:tcPr>
                <w:p w:rsidR="000B3A7F" w:rsidRPr="008125A1" w:rsidRDefault="00F75E8E" w:rsidP="008125A1">
                  <w:pPr>
                    <w:spacing w:before="120" w:after="120"/>
                    <w:jc w:val="both"/>
                    <w:rPr>
                      <w:rFonts w:asciiTheme="minorHAnsi" w:hAnsiTheme="minorHAnsi"/>
                      <w:szCs w:val="22"/>
                      <w:shd w:val="clear" w:color="auto" w:fill="FFFFFF" w:themeFill="background1"/>
                    </w:rPr>
                  </w:pPr>
                  <w:r w:rsidRPr="004045C8">
                    <w:rPr>
                      <w:rFonts w:asciiTheme="minorHAnsi" w:hAnsiTheme="minorHAnsi"/>
                      <w:sz w:val="22"/>
                      <w:szCs w:val="22"/>
                    </w:rPr>
                    <w:t xml:space="preserve">Los </w:t>
                  </w:r>
                  <w:r w:rsidRPr="004045C8">
                    <w:rPr>
                      <w:rFonts w:asciiTheme="minorHAnsi" w:hAnsiTheme="minorHAnsi"/>
                      <w:sz w:val="22"/>
                      <w:szCs w:val="22"/>
                      <w:shd w:val="clear" w:color="auto" w:fill="FFFFFF" w:themeFill="background1"/>
                    </w:rPr>
                    <w:t>objetos valiosos incluyen piedras y metales preciosos, antigüedades, otros objetos de arte y otros objetos valiosos. Sin embargo, no todas las partidas descritas por algunos de estos conceptos necesariamente deben incluirse como objetos valiosos en el balance del propiet</w:t>
                  </w:r>
                  <w:r w:rsidR="008125A1">
                    <w:rPr>
                      <w:rFonts w:asciiTheme="minorHAnsi" w:hAnsiTheme="minorHAnsi"/>
                      <w:sz w:val="22"/>
                      <w:szCs w:val="22"/>
                      <w:shd w:val="clear" w:color="auto" w:fill="FFFFFF" w:themeFill="background1"/>
                    </w:rPr>
                    <w:t>ario</w:t>
                  </w:r>
                  <w:r w:rsidR="004045C8" w:rsidRPr="004045C8">
                    <w:rPr>
                      <w:rFonts w:asciiTheme="minorHAnsi" w:hAnsiTheme="minorHAnsi"/>
                      <w:sz w:val="22"/>
                      <w:szCs w:val="22"/>
                    </w:rPr>
                    <w:t xml:space="preserve">. </w:t>
                  </w:r>
                  <w:r w:rsidR="004045C8" w:rsidRPr="00B103A4">
                    <w:rPr>
                      <w:rFonts w:asciiTheme="minorHAnsi" w:hAnsiTheme="minorHAnsi"/>
                      <w:sz w:val="22"/>
                      <w:szCs w:val="22"/>
                    </w:rPr>
                    <w:t>(SCN 2008, 10.</w:t>
                  </w:r>
                  <w:r w:rsidR="004045C8">
                    <w:rPr>
                      <w:rFonts w:asciiTheme="minorHAnsi" w:hAnsiTheme="minorHAnsi"/>
                      <w:sz w:val="22"/>
                      <w:szCs w:val="22"/>
                    </w:rPr>
                    <w:t>149</w:t>
                  </w:r>
                  <w:r w:rsidR="004045C8" w:rsidRPr="00B103A4">
                    <w:rPr>
                      <w:rFonts w:asciiTheme="minorHAnsi" w:hAnsiTheme="minorHAnsi"/>
                      <w:sz w:val="22"/>
                      <w:szCs w:val="22"/>
                    </w:rPr>
                    <w:t>)</w:t>
                  </w:r>
                </w:p>
              </w:tc>
            </w:tr>
            <w:tr w:rsidR="000B3A7F" w:rsidRPr="0025612F" w:rsidTr="006E11AE">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NP</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Adquisición menos disposiciones de activos no financieros no producidos</w:t>
                  </w:r>
                </w:p>
              </w:tc>
              <w:tc>
                <w:tcPr>
                  <w:tcW w:w="3528" w:type="pct"/>
                  <w:shd w:val="clear" w:color="auto" w:fill="FFFFFF" w:themeFill="background1"/>
                </w:tcPr>
                <w:p w:rsidR="000B3A7F" w:rsidRPr="006C6235" w:rsidRDefault="00640E99" w:rsidP="00640E99">
                  <w:pPr>
                    <w:spacing w:before="120" w:after="120"/>
                    <w:jc w:val="both"/>
                    <w:rPr>
                      <w:rFonts w:asciiTheme="minorHAnsi" w:hAnsiTheme="minorHAnsi"/>
                      <w:szCs w:val="22"/>
                    </w:rPr>
                  </w:pPr>
                  <w:r>
                    <w:rPr>
                      <w:rFonts w:asciiTheme="minorHAnsi" w:hAnsiTheme="minorHAnsi"/>
                      <w:sz w:val="22"/>
                      <w:szCs w:val="22"/>
                      <w:lang w:val="es-EC"/>
                    </w:rPr>
                    <w:t xml:space="preserve">Existen </w:t>
                  </w:r>
                  <w:r w:rsidRPr="00640E99">
                    <w:rPr>
                      <w:rFonts w:asciiTheme="minorHAnsi" w:hAnsiTheme="minorHAnsi"/>
                      <w:sz w:val="22"/>
                      <w:szCs w:val="22"/>
                    </w:rPr>
                    <w:t xml:space="preserve">tres </w:t>
                  </w:r>
                  <w:r w:rsidRPr="006E11AE">
                    <w:rPr>
                      <w:rFonts w:asciiTheme="minorHAnsi" w:hAnsiTheme="minorHAnsi"/>
                      <w:sz w:val="22"/>
                      <w:szCs w:val="22"/>
                      <w:shd w:val="clear" w:color="auto" w:fill="FFFFFF" w:themeFill="background1"/>
                    </w:rPr>
                    <w:t>clases diferentes de otros activos no financieros no producidos: los recursos naturales, los contratos, arrendamientos y licencias, y los fondos de comercio y activos de comercialización. (SCN 2008, 10.164)</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B.9 </w:t>
                  </w:r>
                </w:p>
              </w:tc>
              <w:tc>
                <w:tcPr>
                  <w:tcW w:w="972"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Préstamo neto / endeudamiento neto</w:t>
                  </w:r>
                </w:p>
              </w:tc>
              <w:tc>
                <w:tcPr>
                  <w:tcW w:w="3528" w:type="pct"/>
                  <w:shd w:val="clear" w:color="auto" w:fill="FFFFFF" w:themeFill="background1"/>
                </w:tcPr>
                <w:p w:rsidR="000B3A7F" w:rsidRPr="0025612F" w:rsidRDefault="00E37032" w:rsidP="00E37032">
                  <w:pPr>
                    <w:spacing w:before="120" w:after="120"/>
                    <w:jc w:val="both"/>
                    <w:rPr>
                      <w:rFonts w:asciiTheme="minorHAnsi" w:hAnsiTheme="minorHAnsi"/>
                      <w:szCs w:val="22"/>
                    </w:rPr>
                  </w:pPr>
                  <w:r w:rsidRPr="00E37032">
                    <w:rPr>
                      <w:rFonts w:asciiTheme="minorHAnsi" w:hAnsiTheme="minorHAnsi"/>
                      <w:sz w:val="22"/>
                      <w:szCs w:val="22"/>
                    </w:rPr>
                    <w:t>Préstamo neto se define como la diferencia entre las variaciones del valor neto debidas al ahorro y a las transferencias de capital y las adquisiciones netas de activos no financieros (adquisiciones menos disposiciones de activos no financieros, menos el consumo de capital fijo). Si el monto es negativo, éste representa endeudamiento neto. (SCN 2008, 10.28)</w:t>
                  </w:r>
                </w:p>
              </w:tc>
            </w:tr>
          </w:tbl>
          <w:p w:rsidR="00D53653" w:rsidRPr="00410A0A" w:rsidRDefault="00D53653" w:rsidP="009036BF">
            <w:pPr>
              <w:jc w:val="both"/>
              <w:rPr>
                <w:rFonts w:asciiTheme="minorHAnsi" w:hAnsiTheme="minorHAnsi" w:cs="Arial"/>
                <w:szCs w:val="22"/>
              </w:rPr>
            </w:pPr>
          </w:p>
        </w:tc>
      </w:tr>
      <w:tr w:rsidR="00D53653" w:rsidRPr="00080CCB" w:rsidTr="007E7852">
        <w:trPr>
          <w:jc w:val="center"/>
        </w:trPr>
        <w:tc>
          <w:tcPr>
            <w:tcW w:w="9054" w:type="dxa"/>
            <w:gridSpan w:val="4"/>
            <w:shd w:val="clear" w:color="auto" w:fill="DBE5F1"/>
            <w:vAlign w:val="center"/>
          </w:tcPr>
          <w:p w:rsidR="00D53653" w:rsidRPr="00410A0A" w:rsidRDefault="00D53653"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6. METODOLOGÍA DE CÁLCULO</w:t>
            </w:r>
          </w:p>
        </w:tc>
      </w:tr>
      <w:tr w:rsidR="00D53653" w:rsidRPr="00080CCB" w:rsidTr="000966EA">
        <w:trPr>
          <w:jc w:val="center"/>
        </w:trPr>
        <w:tc>
          <w:tcPr>
            <w:tcW w:w="9054" w:type="dxa"/>
            <w:gridSpan w:val="4"/>
            <w:shd w:val="clear" w:color="auto" w:fill="auto"/>
            <w:vAlign w:val="center"/>
          </w:tcPr>
          <w:p w:rsidR="00506B4D" w:rsidRPr="00C27F31" w:rsidRDefault="00506B4D" w:rsidP="00506B4D">
            <w:pPr>
              <w:spacing w:before="120" w:after="120"/>
              <w:rPr>
                <w:rFonts w:asciiTheme="minorHAnsi" w:eastAsiaTheme="minorHAnsi" w:hAnsiTheme="minorHAnsi" w:cs="Arial"/>
                <w:bCs/>
                <w:szCs w:val="22"/>
                <w:lang w:val="es-EC"/>
              </w:rPr>
            </w:pPr>
            <w:r w:rsidRPr="00C27F31">
              <w:rPr>
                <w:rFonts w:asciiTheme="minorHAnsi" w:eastAsiaTheme="minorHAnsi" w:hAnsiTheme="minorHAnsi" w:cs="Arial"/>
                <w:bCs/>
                <w:szCs w:val="22"/>
                <w:lang w:val="es-EC"/>
              </w:rPr>
              <w:t xml:space="preserve">Los totales de las variables que se presentan en los cuadros que están  a continuación, deben ser divididos para mil con el fin de mostrar cifras en miles de dólares y poder insertarlos en la cuenta. </w:t>
            </w:r>
          </w:p>
          <w:p w:rsidR="00506B4D" w:rsidRPr="00C27F31" w:rsidRDefault="00506B4D" w:rsidP="00506B4D">
            <w:pPr>
              <w:spacing w:before="120" w:after="120"/>
              <w:jc w:val="both"/>
              <w:rPr>
                <w:rFonts w:asciiTheme="minorHAnsi" w:eastAsiaTheme="minorHAnsi" w:hAnsiTheme="minorHAnsi" w:cs="Arial"/>
                <w:bCs/>
                <w:szCs w:val="22"/>
                <w:lang w:val="es-EC"/>
              </w:rPr>
            </w:pPr>
            <w:r w:rsidRPr="00C27F31">
              <w:rPr>
                <w:rFonts w:asciiTheme="minorHAnsi" w:eastAsiaTheme="minorHAnsi" w:hAnsiTheme="minorHAnsi" w:cs="Arial"/>
                <w:bCs/>
                <w:szCs w:val="22"/>
                <w:lang w:val="es-EC"/>
              </w:rPr>
              <w:t>Una vez obtenidos los valores definitivos de las variables se le aplica la siguiente fórmula.</w:t>
            </w:r>
            <w:r>
              <w:rPr>
                <w:rFonts w:asciiTheme="minorHAnsi" w:eastAsiaTheme="minorHAnsi" w:hAnsiTheme="minorHAnsi" w:cs="Arial"/>
                <w:bCs/>
                <w:szCs w:val="22"/>
                <w:lang w:val="es-EC"/>
              </w:rPr>
              <w:t xml:space="preserve"> </w:t>
            </w:r>
          </w:p>
          <w:p w:rsidR="00506B4D" w:rsidRPr="00C27F31" w:rsidRDefault="002A0BCB" w:rsidP="00506B4D">
            <w:pPr>
              <w:spacing w:before="120" w:after="120"/>
              <w:jc w:val="both"/>
              <w:rPr>
                <w:rFonts w:asciiTheme="minorHAnsi" w:eastAsiaTheme="minorHAnsi" w:hAnsiTheme="minorHAnsi" w:cs="Arial"/>
                <w:bCs/>
                <w:szCs w:val="22"/>
                <w:lang w:val="es-EC"/>
              </w:rPr>
            </w:pPr>
            <w:r>
              <w:rPr>
                <w:rFonts w:asciiTheme="minorHAnsi" w:eastAsiaTheme="minorHAnsi" w:hAnsiTheme="minorHAnsi" w:cs="Arial"/>
                <w:bCs/>
                <w:szCs w:val="22"/>
                <w:lang w:val="es-EC"/>
              </w:rPr>
              <w:t>P.51</w:t>
            </w:r>
            <w:r w:rsidR="00506B4D" w:rsidRPr="00C27F31">
              <w:rPr>
                <w:rFonts w:asciiTheme="minorHAnsi" w:eastAsiaTheme="minorHAnsi" w:hAnsiTheme="minorHAnsi" w:cs="Arial"/>
                <w:bCs/>
                <w:szCs w:val="22"/>
                <w:lang w:val="es-EC"/>
              </w:rPr>
              <w:t>= ENTERO(((</w:t>
            </w:r>
            <w:r w:rsidR="005855D1">
              <w:rPr>
                <w:rFonts w:asciiTheme="minorHAnsi" w:eastAsiaTheme="minorHAnsi" w:hAnsiTheme="minorHAnsi" w:cs="Arial"/>
                <w:bCs/>
                <w:szCs w:val="22"/>
                <w:lang w:val="es-EC"/>
              </w:rPr>
              <w:t>3709000</w:t>
            </w:r>
            <w:r w:rsidR="00506B4D" w:rsidRPr="00C27F31">
              <w:rPr>
                <w:rFonts w:asciiTheme="minorHAnsi" w:eastAsiaTheme="minorHAnsi" w:hAnsiTheme="minorHAnsi" w:cs="Arial"/>
                <w:bCs/>
                <w:szCs w:val="22"/>
                <w:lang w:val="es-EC"/>
              </w:rPr>
              <w:t>)/1000)+0.5))</w:t>
            </w:r>
          </w:p>
          <w:p w:rsidR="00506B4D" w:rsidRPr="00C27F31" w:rsidRDefault="002A0BCB" w:rsidP="00506B4D">
            <w:pPr>
              <w:spacing w:before="120" w:after="120"/>
              <w:jc w:val="both"/>
              <w:rPr>
                <w:rFonts w:asciiTheme="minorHAnsi" w:eastAsiaTheme="minorHAnsi" w:hAnsiTheme="minorHAnsi" w:cs="Arial"/>
                <w:bCs/>
                <w:szCs w:val="22"/>
                <w:lang w:val="es-EC"/>
              </w:rPr>
            </w:pPr>
            <w:r>
              <w:rPr>
                <w:rFonts w:asciiTheme="minorHAnsi" w:eastAsiaTheme="minorHAnsi" w:hAnsiTheme="minorHAnsi" w:cs="Arial"/>
                <w:bCs/>
                <w:szCs w:val="22"/>
                <w:lang w:val="es-EC"/>
              </w:rPr>
              <w:t>P.51</w:t>
            </w:r>
            <w:r w:rsidR="00506B4D" w:rsidRPr="00C27F31">
              <w:rPr>
                <w:rFonts w:asciiTheme="minorHAnsi" w:eastAsiaTheme="minorHAnsi" w:hAnsiTheme="minorHAnsi" w:cs="Arial"/>
                <w:bCs/>
                <w:szCs w:val="22"/>
                <w:lang w:val="es-EC"/>
              </w:rPr>
              <w:t xml:space="preserve">= </w:t>
            </w:r>
            <w:r w:rsidR="005855D1">
              <w:rPr>
                <w:rFonts w:asciiTheme="minorHAnsi" w:eastAsiaTheme="minorHAnsi" w:hAnsiTheme="minorHAnsi" w:cs="Arial"/>
                <w:bCs/>
                <w:szCs w:val="22"/>
                <w:lang w:val="es-EC"/>
              </w:rPr>
              <w:t>3709</w:t>
            </w:r>
          </w:p>
          <w:p w:rsidR="00506B4D" w:rsidRDefault="00506B4D" w:rsidP="00506B4D">
            <w:pPr>
              <w:spacing w:before="120" w:after="120"/>
              <w:jc w:val="both"/>
              <w:rPr>
                <w:rFonts w:asciiTheme="minorHAnsi" w:eastAsiaTheme="minorHAnsi" w:hAnsiTheme="minorHAnsi" w:cs="Arial"/>
                <w:bCs/>
                <w:szCs w:val="22"/>
                <w:lang w:val="es-EC"/>
              </w:rPr>
            </w:pPr>
            <w:r w:rsidRPr="004B7EBD">
              <w:rPr>
                <w:rFonts w:asciiTheme="minorHAnsi" w:eastAsiaTheme="minorHAnsi" w:hAnsiTheme="minorHAnsi" w:cs="Arial"/>
                <w:bCs/>
                <w:szCs w:val="22"/>
                <w:lang w:val="es-EC"/>
              </w:rPr>
              <w:lastRenderedPageBreak/>
              <w:t>Este procedimiento lo realizamos con el fin de obtener las cifras en miles de dólares.</w:t>
            </w:r>
          </w:p>
          <w:p w:rsidR="00991196" w:rsidRDefault="00991196" w:rsidP="00506B4D">
            <w:pPr>
              <w:spacing w:before="120" w:after="120"/>
              <w:jc w:val="both"/>
              <w:rPr>
                <w:rFonts w:asciiTheme="minorHAnsi" w:eastAsiaTheme="minorHAnsi" w:hAnsiTheme="minorHAnsi" w:cs="Arial"/>
                <w:bCs/>
                <w:szCs w:val="22"/>
                <w:lang w:val="es-EC"/>
              </w:rPr>
            </w:pPr>
          </w:p>
          <w:p w:rsidR="00CF5054" w:rsidRPr="00F53E44" w:rsidRDefault="00CF5054" w:rsidP="00CF5054">
            <w:pPr>
              <w:spacing w:before="120" w:after="120"/>
              <w:mirrorIndents/>
              <w:jc w:val="both"/>
              <w:rPr>
                <w:rFonts w:asciiTheme="minorHAnsi" w:eastAsiaTheme="minorHAnsi" w:hAnsiTheme="minorHAnsi" w:cs="Arial"/>
                <w:b/>
                <w:bCs/>
                <w:color w:val="000000"/>
                <w:szCs w:val="22"/>
                <w:lang w:val="es-EC"/>
              </w:rPr>
            </w:pPr>
            <w:r w:rsidRPr="00F53E44">
              <w:rPr>
                <w:rFonts w:asciiTheme="minorHAnsi" w:eastAsiaTheme="minorHAnsi" w:hAnsiTheme="minorHAnsi" w:cs="Arial"/>
                <w:b/>
                <w:bCs/>
                <w:color w:val="000000"/>
                <w:szCs w:val="22"/>
                <w:lang w:val="es-EC"/>
              </w:rPr>
              <w:t>Calculo de la Formación bruta de capital fijo (P.51):</w:t>
            </w:r>
          </w:p>
          <w:p w:rsidR="00CF5054" w:rsidRPr="00F53E44" w:rsidRDefault="00CF5054" w:rsidP="00CF5054">
            <w:p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 xml:space="preserve">El cálculo de la variable P.51 es la variación del stock de capital, es decir, se deben obtener los valores de las variables P.51 del año </w:t>
            </w:r>
            <w:r w:rsidRPr="00F53E44">
              <w:rPr>
                <w:rFonts w:asciiTheme="minorHAnsi" w:eastAsiaTheme="minorHAnsi" w:hAnsiTheme="minorHAnsi" w:cs="Arial"/>
                <w:bCs/>
                <w:i/>
                <w:color w:val="000000"/>
                <w:szCs w:val="22"/>
                <w:lang w:val="es-EC"/>
              </w:rPr>
              <w:t>t</w:t>
            </w:r>
            <w:r w:rsidRPr="00F53E44">
              <w:rPr>
                <w:rFonts w:asciiTheme="minorHAnsi" w:eastAsiaTheme="minorHAnsi" w:hAnsiTheme="minorHAnsi" w:cs="Arial"/>
                <w:bCs/>
                <w:color w:val="000000"/>
                <w:szCs w:val="22"/>
                <w:lang w:val="es-EC"/>
              </w:rPr>
              <w:t xml:space="preserve"> (año 2011 para este ejercicio) y restar los valores de las  variables P.51 del año t-1 (año 2010 para este ejercicio). Las variables que forman parte del stock de capital son las siguientes: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Inmuebles excepto terrenos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Edificios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Obras en proceso</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Instalaciones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Maquinaria equipo e instalaciones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Muebles y enseres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Maquinaria y equipo</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Naves aeronaves barcazas y similares</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Equipo de computación y software</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Vehículos equipos de transporte y equipo caminero móvil</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Activos de exploración y explotación</w:t>
            </w:r>
          </w:p>
          <w:p w:rsidR="00CF5054" w:rsidRPr="00F53E4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Otras propiedades planta y equipo</w:t>
            </w:r>
          </w:p>
          <w:p w:rsidR="00CF5054" w:rsidRDefault="00CF5054" w:rsidP="00CF5054">
            <w:pPr>
              <w:pStyle w:val="Prrafodelista"/>
              <w:numPr>
                <w:ilvl w:val="0"/>
                <w:numId w:val="18"/>
              </w:num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Derechos de llave marcas patentes y otros similares</w:t>
            </w:r>
          </w:p>
          <w:p w:rsidR="00CF5054" w:rsidRPr="00F53E44" w:rsidRDefault="00CF5054" w:rsidP="00CF5054">
            <w:pPr>
              <w:spacing w:before="120" w:after="120"/>
              <w:mirrorIndents/>
              <w:jc w:val="both"/>
              <w:rPr>
                <w:rFonts w:asciiTheme="minorHAnsi" w:eastAsiaTheme="minorHAnsi" w:hAnsiTheme="minorHAnsi" w:cs="Arial"/>
                <w:bCs/>
                <w:color w:val="000000"/>
                <w:szCs w:val="22"/>
                <w:lang w:val="es-EC"/>
              </w:rPr>
            </w:pPr>
          </w:p>
          <w:p w:rsidR="00CF5054" w:rsidRPr="00F53E44" w:rsidRDefault="00CF5054" w:rsidP="00CF5054">
            <w:pPr>
              <w:spacing w:before="120" w:after="120"/>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La forma de calcular la</w:t>
            </w:r>
            <w:r>
              <w:t xml:space="preserve"> </w:t>
            </w:r>
            <w:r w:rsidRPr="00D66098">
              <w:rPr>
                <w:rFonts w:asciiTheme="minorHAnsi" w:eastAsiaTheme="minorHAnsi" w:hAnsiTheme="minorHAnsi" w:cs="Arial"/>
                <w:bCs/>
                <w:color w:val="000000"/>
                <w:szCs w:val="22"/>
                <w:lang w:val="es-EC"/>
              </w:rPr>
              <w:t>Formación bruta de capital fijo</w:t>
            </w:r>
            <w:r w:rsidRPr="00F53E44">
              <w:rPr>
                <w:rFonts w:asciiTheme="minorHAnsi" w:eastAsiaTheme="minorHAnsi" w:hAnsiTheme="minorHAnsi" w:cs="Arial"/>
                <w:bCs/>
                <w:color w:val="000000"/>
                <w:szCs w:val="22"/>
                <w:lang w:val="es-EC"/>
              </w:rPr>
              <w:t xml:space="preserve"> </w:t>
            </w:r>
            <w:r>
              <w:rPr>
                <w:rFonts w:asciiTheme="minorHAnsi" w:eastAsiaTheme="minorHAnsi" w:hAnsiTheme="minorHAnsi" w:cs="Arial"/>
                <w:bCs/>
                <w:color w:val="000000"/>
                <w:szCs w:val="22"/>
                <w:lang w:val="es-EC"/>
              </w:rPr>
              <w:t>(P</w:t>
            </w:r>
            <w:r w:rsidRPr="00F53E44">
              <w:rPr>
                <w:rFonts w:asciiTheme="minorHAnsi" w:eastAsiaTheme="minorHAnsi" w:hAnsiTheme="minorHAnsi" w:cs="Arial"/>
                <w:bCs/>
                <w:color w:val="000000"/>
                <w:szCs w:val="22"/>
                <w:lang w:val="es-EC"/>
              </w:rPr>
              <w:t>.51</w:t>
            </w:r>
            <w:r>
              <w:rPr>
                <w:rFonts w:asciiTheme="minorHAnsi" w:eastAsiaTheme="minorHAnsi" w:hAnsiTheme="minorHAnsi" w:cs="Arial"/>
                <w:bCs/>
                <w:color w:val="000000"/>
                <w:szCs w:val="22"/>
                <w:lang w:val="es-EC"/>
              </w:rPr>
              <w:t>)</w:t>
            </w:r>
            <w:r w:rsidRPr="00F53E44">
              <w:rPr>
                <w:rFonts w:asciiTheme="minorHAnsi" w:eastAsiaTheme="minorHAnsi" w:hAnsiTheme="minorHAnsi" w:cs="Arial"/>
                <w:bCs/>
                <w:color w:val="000000"/>
                <w:szCs w:val="22"/>
                <w:lang w:val="es-EC"/>
              </w:rPr>
              <w:t xml:space="preserve"> es la siguiente:</w:t>
            </w:r>
          </w:p>
          <w:p w:rsidR="00CF5054" w:rsidRPr="00F53E44" w:rsidRDefault="00CF5054" w:rsidP="00CF5054">
            <w:pPr>
              <w:spacing w:before="120" w:after="120"/>
              <w:ind w:left="708"/>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 xml:space="preserve">Sumatoria de las variables P.51 del año </w:t>
            </w:r>
            <w:r w:rsidRPr="00F53E44">
              <w:rPr>
                <w:rFonts w:asciiTheme="minorHAnsi" w:eastAsiaTheme="minorHAnsi" w:hAnsiTheme="minorHAnsi" w:cs="Arial"/>
                <w:bCs/>
                <w:i/>
                <w:color w:val="000000"/>
                <w:szCs w:val="22"/>
                <w:lang w:val="es-EC"/>
              </w:rPr>
              <w:t>t</w:t>
            </w:r>
          </w:p>
          <w:p w:rsidR="00CF5054" w:rsidRPr="00F53E44" w:rsidRDefault="00CF5054" w:rsidP="00CF5054">
            <w:pPr>
              <w:spacing w:before="120" w:after="120"/>
              <w:ind w:left="708"/>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
                <w:bCs/>
                <w:color w:val="000000"/>
                <w:szCs w:val="22"/>
                <w:lang w:val="es-EC"/>
              </w:rPr>
              <w:t>Menos</w:t>
            </w:r>
            <w:r w:rsidRPr="00F53E44">
              <w:rPr>
                <w:rFonts w:asciiTheme="minorHAnsi" w:eastAsiaTheme="minorHAnsi" w:hAnsiTheme="minorHAnsi" w:cs="Arial"/>
                <w:bCs/>
                <w:color w:val="000000"/>
                <w:szCs w:val="22"/>
                <w:lang w:val="es-EC"/>
              </w:rPr>
              <w:t xml:space="preserve">: Sumatoria de las variables P.51 del año </w:t>
            </w:r>
            <w:r w:rsidRPr="00F53E44">
              <w:rPr>
                <w:rFonts w:asciiTheme="minorHAnsi" w:eastAsiaTheme="minorHAnsi" w:hAnsiTheme="minorHAnsi" w:cs="Arial"/>
                <w:bCs/>
                <w:i/>
                <w:color w:val="000000"/>
                <w:szCs w:val="22"/>
                <w:lang w:val="es-EC"/>
              </w:rPr>
              <w:t>t-1</w:t>
            </w:r>
          </w:p>
          <w:p w:rsidR="00CF5054" w:rsidRDefault="00CF5054" w:rsidP="00CF5054">
            <w:pPr>
              <w:spacing w:before="120" w:after="120"/>
              <w:ind w:left="708"/>
              <w:mirrorIndents/>
              <w:jc w:val="both"/>
              <w:rPr>
                <w:rFonts w:asciiTheme="minorHAnsi" w:eastAsiaTheme="minorHAnsi" w:hAnsiTheme="minorHAnsi" w:cs="Arial"/>
                <w:bCs/>
                <w:color w:val="000000"/>
                <w:szCs w:val="22"/>
                <w:lang w:val="es-EC"/>
              </w:rPr>
            </w:pPr>
            <w:r w:rsidRPr="00F53E44">
              <w:rPr>
                <w:rFonts w:asciiTheme="minorHAnsi" w:eastAsiaTheme="minorHAnsi" w:hAnsiTheme="minorHAnsi" w:cs="Arial"/>
                <w:bCs/>
                <w:color w:val="000000"/>
                <w:szCs w:val="22"/>
                <w:lang w:val="es-EC"/>
              </w:rPr>
              <w:t>= Variación de la formación bruta de capital fijo (P.51b)</w:t>
            </w:r>
          </w:p>
          <w:p w:rsidR="00F13702" w:rsidRPr="00F53E44" w:rsidRDefault="00F13702" w:rsidP="00CF5054">
            <w:pPr>
              <w:spacing w:before="120" w:after="120"/>
              <w:ind w:left="708"/>
              <w:mirrorIndents/>
              <w:jc w:val="both"/>
              <w:rPr>
                <w:rFonts w:asciiTheme="minorHAnsi" w:eastAsiaTheme="minorHAnsi" w:hAnsiTheme="minorHAnsi" w:cs="Arial"/>
                <w:bCs/>
                <w:color w:val="000000"/>
                <w:szCs w:val="22"/>
                <w:lang w:val="es-EC"/>
              </w:rPr>
            </w:pPr>
          </w:p>
          <w:p w:rsidR="00CF5054" w:rsidRPr="00F53E44" w:rsidRDefault="00CF5054" w:rsidP="00CF5054">
            <w:pPr>
              <w:spacing w:before="120" w:after="120"/>
              <w:mirrorIndents/>
              <w:jc w:val="both"/>
              <w:rPr>
                <w:rFonts w:asciiTheme="minorHAnsi" w:eastAsiaTheme="minorHAnsi" w:hAnsiTheme="minorHAnsi" w:cs="Arial"/>
                <w:b/>
                <w:bCs/>
                <w:color w:val="000000"/>
                <w:szCs w:val="22"/>
                <w:lang w:val="es-EC"/>
              </w:rPr>
            </w:pPr>
            <w:r w:rsidRPr="00F53E44">
              <w:rPr>
                <w:rFonts w:asciiTheme="minorHAnsi" w:eastAsiaTheme="minorHAnsi" w:hAnsiTheme="minorHAnsi" w:cs="Arial"/>
                <w:b/>
                <w:bCs/>
                <w:color w:val="000000"/>
                <w:szCs w:val="22"/>
                <w:lang w:val="es-EC"/>
              </w:rPr>
              <w:t>Cálculo de la Variaciones de existencias (P.52)</w:t>
            </w:r>
          </w:p>
          <w:p w:rsidR="00CF5054" w:rsidRDefault="00CF5054" w:rsidP="00CF5054">
            <w:pPr>
              <w:spacing w:before="120" w:after="120"/>
              <w:mirrorIndents/>
              <w:jc w:val="both"/>
              <w:rPr>
                <w:rFonts w:asciiTheme="minorHAnsi" w:eastAsiaTheme="minorHAnsi" w:hAnsiTheme="minorHAnsi" w:cs="Arial"/>
                <w:bCs/>
                <w:color w:val="000000"/>
                <w:szCs w:val="22"/>
                <w:lang w:val="es-EC"/>
              </w:rPr>
            </w:pPr>
            <w:r w:rsidRPr="00D66098">
              <w:rPr>
                <w:rFonts w:asciiTheme="minorHAnsi" w:eastAsiaTheme="minorHAnsi" w:hAnsiTheme="minorHAnsi" w:cs="Arial"/>
                <w:bCs/>
                <w:color w:val="000000"/>
                <w:szCs w:val="22"/>
                <w:lang w:val="es-EC"/>
              </w:rPr>
              <w:t>La variable P.52 de calcula a través de la variación de los inventarios finales menos los inventarios iniciales de las siguientes variables:</w:t>
            </w:r>
          </w:p>
          <w:p w:rsidR="00CF5054" w:rsidRPr="00D66098" w:rsidRDefault="00CF5054" w:rsidP="00CF5054">
            <w:pPr>
              <w:pStyle w:val="Prrafodelista"/>
              <w:numPr>
                <w:ilvl w:val="0"/>
                <w:numId w:val="19"/>
              </w:numPr>
              <w:spacing w:before="120" w:after="120"/>
              <w:mirrorIndents/>
              <w:jc w:val="both"/>
              <w:rPr>
                <w:rFonts w:asciiTheme="minorHAnsi" w:eastAsiaTheme="minorHAnsi" w:hAnsiTheme="minorHAnsi" w:cs="Arial"/>
                <w:bCs/>
                <w:color w:val="000000"/>
                <w:szCs w:val="22"/>
                <w:lang w:val="es-EC"/>
              </w:rPr>
            </w:pPr>
            <w:r w:rsidRPr="00D66098">
              <w:rPr>
                <w:rFonts w:asciiTheme="minorHAnsi" w:eastAsiaTheme="minorHAnsi" w:hAnsiTheme="minorHAnsi" w:cs="Arial"/>
                <w:bCs/>
                <w:color w:val="000000"/>
                <w:szCs w:val="22"/>
                <w:lang w:val="es-EC"/>
              </w:rPr>
              <w:t>Bienes no producidos por el sujeto pasivo</w:t>
            </w:r>
          </w:p>
          <w:p w:rsidR="00CF5054" w:rsidRPr="00D66098" w:rsidRDefault="00CF5054" w:rsidP="00CF5054">
            <w:pPr>
              <w:pStyle w:val="Prrafodelista"/>
              <w:numPr>
                <w:ilvl w:val="0"/>
                <w:numId w:val="19"/>
              </w:numPr>
              <w:spacing w:before="120" w:after="120"/>
              <w:mirrorIndents/>
              <w:jc w:val="both"/>
              <w:rPr>
                <w:rFonts w:asciiTheme="minorHAnsi" w:eastAsiaTheme="minorHAnsi" w:hAnsiTheme="minorHAnsi" w:cs="Arial"/>
                <w:bCs/>
                <w:color w:val="000000"/>
                <w:szCs w:val="22"/>
                <w:lang w:val="es-EC"/>
              </w:rPr>
            </w:pPr>
            <w:r w:rsidRPr="00D66098">
              <w:rPr>
                <w:rFonts w:asciiTheme="minorHAnsi" w:eastAsiaTheme="minorHAnsi" w:hAnsiTheme="minorHAnsi" w:cs="Arial"/>
                <w:bCs/>
                <w:color w:val="000000"/>
                <w:szCs w:val="22"/>
                <w:lang w:val="es-EC"/>
              </w:rPr>
              <w:lastRenderedPageBreak/>
              <w:t>Materia prima</w:t>
            </w:r>
          </w:p>
          <w:p w:rsidR="00CF5054" w:rsidRDefault="00CF5054" w:rsidP="00CF5054">
            <w:pPr>
              <w:pStyle w:val="Prrafodelista"/>
              <w:numPr>
                <w:ilvl w:val="0"/>
                <w:numId w:val="19"/>
              </w:numPr>
              <w:spacing w:before="120" w:after="120"/>
              <w:mirrorIndents/>
              <w:jc w:val="both"/>
              <w:rPr>
                <w:rFonts w:asciiTheme="minorHAnsi" w:eastAsiaTheme="minorHAnsi" w:hAnsiTheme="minorHAnsi" w:cs="Arial"/>
                <w:bCs/>
                <w:color w:val="000000"/>
                <w:szCs w:val="22"/>
                <w:lang w:val="es-EC"/>
              </w:rPr>
            </w:pPr>
            <w:r w:rsidRPr="00D66098">
              <w:rPr>
                <w:rFonts w:asciiTheme="minorHAnsi" w:eastAsiaTheme="minorHAnsi" w:hAnsiTheme="minorHAnsi" w:cs="Arial"/>
                <w:bCs/>
                <w:color w:val="000000"/>
                <w:szCs w:val="22"/>
                <w:lang w:val="es-EC"/>
              </w:rPr>
              <w:t>Productos en proceso</w:t>
            </w:r>
          </w:p>
          <w:p w:rsidR="00D107FD" w:rsidRPr="00566D13" w:rsidRDefault="00CF5054" w:rsidP="00CF5054">
            <w:pPr>
              <w:pStyle w:val="Prrafodelista"/>
              <w:numPr>
                <w:ilvl w:val="0"/>
                <w:numId w:val="19"/>
              </w:numPr>
              <w:spacing w:before="120" w:after="120"/>
              <w:mirrorIndents/>
              <w:jc w:val="both"/>
              <w:rPr>
                <w:rFonts w:asciiTheme="minorHAnsi" w:eastAsiaTheme="minorHAnsi" w:hAnsiTheme="minorHAnsi" w:cs="Arial"/>
                <w:bCs/>
                <w:color w:val="000000"/>
                <w:szCs w:val="22"/>
                <w:lang w:val="es-EC"/>
              </w:rPr>
            </w:pPr>
            <w:r w:rsidRPr="00D66098">
              <w:rPr>
                <w:rFonts w:asciiTheme="minorHAnsi" w:eastAsiaTheme="minorHAnsi" w:hAnsiTheme="minorHAnsi" w:cs="Arial"/>
                <w:bCs/>
                <w:color w:val="000000"/>
                <w:szCs w:val="22"/>
                <w:lang w:val="es-EC"/>
              </w:rPr>
              <w:t>Productos terminados</w:t>
            </w:r>
          </w:p>
        </w:tc>
      </w:tr>
      <w:tr w:rsidR="004C708F" w:rsidRPr="00080CCB" w:rsidTr="007E7852">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lastRenderedPageBreak/>
              <w:t>VARIACIÓN DE PASIVOS</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Pr>
                <w:rFonts w:asciiTheme="minorHAnsi" w:eastAsiaTheme="minorHAnsi" w:hAnsiTheme="minorHAnsi" w:cs="Arial"/>
                <w:b/>
                <w:bCs/>
                <w:color w:val="000000"/>
                <w:szCs w:val="22"/>
                <w:lang w:val="es-EC"/>
              </w:rPr>
              <w:t xml:space="preserve"> </w:t>
            </w:r>
            <w:r w:rsidRPr="00BB0EEC">
              <w:rPr>
                <w:rFonts w:asciiTheme="minorHAnsi" w:eastAsiaTheme="minorHAnsi" w:hAnsiTheme="minorHAnsi" w:cs="Arial"/>
                <w:b/>
                <w:bCs/>
                <w:color w:val="000000"/>
                <w:szCs w:val="22"/>
                <w:lang w:val="es-EC"/>
              </w:rPr>
              <w:t>Ahorro neto</w:t>
            </w:r>
          </w:p>
        </w:tc>
      </w:tr>
      <w:tr w:rsidR="004C708F" w:rsidRPr="00080CCB" w:rsidTr="004C708F">
        <w:trPr>
          <w:jc w:val="center"/>
        </w:trPr>
        <w:tc>
          <w:tcPr>
            <w:tcW w:w="9054" w:type="dxa"/>
            <w:gridSpan w:val="4"/>
            <w:shd w:val="clear" w:color="auto" w:fill="auto"/>
            <w:vAlign w:val="center"/>
          </w:tcPr>
          <w:p w:rsidR="00A42298" w:rsidRDefault="00A42298" w:rsidP="00A42298">
            <w:pPr>
              <w:widowControl w:val="0"/>
              <w:autoSpaceDE w:val="0"/>
              <w:autoSpaceDN w:val="0"/>
              <w:adjustRightInd w:val="0"/>
              <w:spacing w:before="120" w:after="120" w:line="276" w:lineRule="auto"/>
              <w:ind w:right="68"/>
              <w:rPr>
                <w:rFonts w:asciiTheme="minorHAnsi" w:hAnsiTheme="minorHAnsi" w:cs="Tahoma"/>
                <w:iCs/>
                <w:color w:val="000000"/>
                <w:position w:val="-1"/>
                <w:szCs w:val="22"/>
              </w:rPr>
            </w:pPr>
            <w:r>
              <w:rPr>
                <w:rFonts w:asciiTheme="minorHAnsi" w:hAnsiTheme="minorHAnsi" w:cs="Tahoma"/>
                <w:iCs/>
                <w:color w:val="000000"/>
                <w:position w:val="-1"/>
                <w:szCs w:val="22"/>
              </w:rPr>
              <w:t>Esta variable es la contrapartida de la II.4.1. Cuenta de Utilización del Ingreso Disponible por parte de los empleos</w:t>
            </w:r>
          </w:p>
          <w:p w:rsidR="004C708F" w:rsidRPr="00A42298" w:rsidRDefault="00A42298" w:rsidP="00CF5054">
            <w:pPr>
              <w:spacing w:before="120" w:after="120"/>
              <w:rPr>
                <w:rFonts w:asciiTheme="minorHAnsi" w:eastAsiaTheme="minorHAnsi" w:hAnsiTheme="minorHAnsi" w:cs="Arial"/>
                <w:b/>
                <w:bCs/>
                <w:color w:val="000000"/>
                <w:szCs w:val="22"/>
              </w:rPr>
            </w:pPr>
            <w:r>
              <w:rPr>
                <w:rFonts w:asciiTheme="minorHAnsi" w:hAnsiTheme="minorHAnsi" w:cs="Tahoma"/>
                <w:iCs/>
                <w:color w:val="000000"/>
                <w:position w:val="-1"/>
                <w:szCs w:val="22"/>
              </w:rPr>
              <w:t xml:space="preserve">B.8n </w:t>
            </w:r>
            <w:r w:rsidRPr="00A42298">
              <w:rPr>
                <w:rFonts w:asciiTheme="minorHAnsi" w:hAnsiTheme="minorHAnsi" w:cs="Tahoma"/>
                <w:iCs/>
                <w:color w:val="000000"/>
                <w:position w:val="-1"/>
                <w:szCs w:val="22"/>
              </w:rPr>
              <w:t>Ahorro neto</w:t>
            </w:r>
            <w:r>
              <w:rPr>
                <w:rFonts w:asciiTheme="minorHAnsi" w:hAnsiTheme="minorHAnsi" w:cs="Tahoma"/>
                <w:iCs/>
                <w:color w:val="000000"/>
                <w:position w:val="-1"/>
                <w:szCs w:val="22"/>
              </w:rPr>
              <w:t xml:space="preserve"> = </w:t>
            </w:r>
            <w:r w:rsidR="00CF5054">
              <w:rPr>
                <w:rFonts w:asciiTheme="minorHAnsi" w:hAnsiTheme="minorHAnsi" w:cs="Tahoma"/>
                <w:iCs/>
                <w:color w:val="000000"/>
                <w:position w:val="-1"/>
                <w:szCs w:val="22"/>
              </w:rPr>
              <w:t>29.817</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D.9r</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recibidas</w:t>
            </w:r>
          </w:p>
        </w:tc>
      </w:tr>
      <w:tr w:rsidR="004C708F" w:rsidRPr="00080CCB" w:rsidTr="004C708F">
        <w:trPr>
          <w:jc w:val="center"/>
        </w:trPr>
        <w:tc>
          <w:tcPr>
            <w:tcW w:w="9054" w:type="dxa"/>
            <w:gridSpan w:val="4"/>
            <w:shd w:val="clear" w:color="auto" w:fill="auto"/>
            <w:vAlign w:val="center"/>
          </w:tcPr>
          <w:p w:rsidR="004C708F" w:rsidRPr="00991196" w:rsidRDefault="00CF5054" w:rsidP="000E5BF3">
            <w:pPr>
              <w:spacing w:before="120" w:after="120"/>
              <w:jc w:val="both"/>
              <w:rPr>
                <w:rFonts w:asciiTheme="minorHAnsi" w:eastAsiaTheme="minorHAnsi" w:hAnsiTheme="minorHAnsi" w:cs="Arial"/>
                <w:bCs/>
                <w:color w:val="000000"/>
                <w:szCs w:val="22"/>
                <w:lang w:val="es-EC"/>
              </w:rPr>
            </w:pPr>
            <w:r w:rsidRPr="00991196">
              <w:rPr>
                <w:rFonts w:asciiTheme="minorHAnsi" w:hAnsiTheme="minorHAnsi" w:cs="Arial"/>
                <w:szCs w:val="22"/>
              </w:rPr>
              <w:t>No aplica a sociedades no financieras e ISFLSH</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pagadas (-)</w:t>
            </w:r>
          </w:p>
        </w:tc>
      </w:tr>
      <w:tr w:rsidR="004C708F" w:rsidRPr="00080CCB" w:rsidTr="004C708F">
        <w:trPr>
          <w:jc w:val="center"/>
        </w:trPr>
        <w:tc>
          <w:tcPr>
            <w:tcW w:w="9054" w:type="dxa"/>
            <w:gridSpan w:val="4"/>
            <w:shd w:val="clear" w:color="auto" w:fill="auto"/>
            <w:vAlign w:val="center"/>
          </w:tcPr>
          <w:p w:rsidR="004C708F" w:rsidRPr="00991196" w:rsidRDefault="00CF5054" w:rsidP="000E5BF3">
            <w:pPr>
              <w:spacing w:before="120" w:after="120"/>
              <w:jc w:val="both"/>
              <w:rPr>
                <w:rFonts w:asciiTheme="minorHAnsi" w:eastAsiaTheme="minorHAnsi" w:hAnsiTheme="minorHAnsi" w:cs="Arial"/>
                <w:bCs/>
                <w:color w:val="000000"/>
                <w:szCs w:val="22"/>
                <w:lang w:val="es-EC"/>
              </w:rPr>
            </w:pPr>
            <w:r w:rsidRPr="00991196">
              <w:rPr>
                <w:rFonts w:ascii="Calibri" w:eastAsiaTheme="minorHAnsi" w:hAnsi="Calibri" w:cs="Calibri"/>
                <w:bCs/>
                <w:szCs w:val="24"/>
              </w:rPr>
              <w:t>No aplica a sociedades no financieras e ISFLSH</w:t>
            </w:r>
          </w:p>
        </w:tc>
      </w:tr>
      <w:tr w:rsidR="004C708F" w:rsidRPr="00080CCB" w:rsidTr="007E7852">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4C708F" w:rsidRPr="00080CCB" w:rsidTr="004C708F">
        <w:trPr>
          <w:jc w:val="center"/>
        </w:trPr>
        <w:tc>
          <w:tcPr>
            <w:tcW w:w="9054" w:type="dxa"/>
            <w:gridSpan w:val="4"/>
            <w:shd w:val="clear" w:color="auto" w:fill="auto"/>
            <w:vAlign w:val="center"/>
          </w:tcPr>
          <w:p w:rsidR="00991196" w:rsidRDefault="00D914BC" w:rsidP="00D914BC">
            <w:pPr>
              <w:spacing w:before="120" w:after="120"/>
              <w:jc w:val="both"/>
              <w:rPr>
                <w:rFonts w:asciiTheme="minorHAnsi" w:hAnsiTheme="minorHAnsi" w:cs="Arial"/>
                <w:szCs w:val="22"/>
              </w:rPr>
            </w:pPr>
            <w:r>
              <w:rPr>
                <w:rFonts w:asciiTheme="minorHAnsi" w:hAnsiTheme="minorHAnsi" w:cs="Arial"/>
                <w:szCs w:val="22"/>
              </w:rPr>
              <w:t xml:space="preserve">Una vez codificada las </w:t>
            </w:r>
            <w:r w:rsidR="00CF5054">
              <w:rPr>
                <w:rFonts w:asciiTheme="minorHAnsi" w:hAnsiTheme="minorHAnsi" w:cs="Arial"/>
                <w:szCs w:val="22"/>
              </w:rPr>
              <w:t xml:space="preserve">variables </w:t>
            </w:r>
            <w:r>
              <w:rPr>
                <w:rFonts w:asciiTheme="minorHAnsi" w:hAnsiTheme="minorHAnsi" w:cs="Arial"/>
                <w:szCs w:val="22"/>
              </w:rPr>
              <w:t xml:space="preserve"> de la base de ingreso</w:t>
            </w:r>
            <w:r w:rsidR="00CF5054">
              <w:rPr>
                <w:rFonts w:asciiTheme="minorHAnsi" w:hAnsiTheme="minorHAnsi" w:cs="Arial"/>
                <w:szCs w:val="22"/>
              </w:rPr>
              <w:t xml:space="preserve"> y gastos </w:t>
            </w:r>
            <w:r>
              <w:rPr>
                <w:rFonts w:asciiTheme="minorHAnsi" w:hAnsiTheme="minorHAnsi" w:cs="Arial"/>
                <w:szCs w:val="22"/>
              </w:rPr>
              <w:t>de acuerdo al catálogo de cuentas nacionales</w:t>
            </w:r>
            <w:r w:rsidR="00CF5054">
              <w:rPr>
                <w:rFonts w:asciiTheme="minorHAnsi" w:hAnsiTheme="minorHAnsi" w:cs="Arial"/>
                <w:szCs w:val="22"/>
              </w:rPr>
              <w:t xml:space="preserve"> </w:t>
            </w:r>
            <w:r w:rsidR="00CF5054" w:rsidRPr="00CF5054">
              <w:rPr>
                <w:rFonts w:asciiTheme="minorHAnsi" w:hAnsiTheme="minorHAnsi" w:cs="Arial"/>
                <w:szCs w:val="22"/>
              </w:rPr>
              <w:t>para sociedades no financieras e ISFLSH</w:t>
            </w:r>
            <w:r w:rsidR="00CF5054">
              <w:rPr>
                <w:rFonts w:asciiTheme="minorHAnsi" w:hAnsiTheme="minorHAnsi" w:cs="Arial"/>
                <w:szCs w:val="22"/>
              </w:rPr>
              <w:t xml:space="preserve"> se realiza la respectiva diferencia entre P.51b de gasto(año t) menos P.51b de ingreso (año t-1)</w:t>
            </w:r>
            <w:r>
              <w:rPr>
                <w:rFonts w:asciiTheme="minorHAnsi" w:hAnsiTheme="minorHAnsi" w:cs="Arial"/>
                <w:szCs w:val="22"/>
              </w:rPr>
              <w:t>,  se filtra todas las variables correspondientes a la P.51 obteniendo un total como se observa en el siguiente cuadro:</w:t>
            </w:r>
          </w:p>
          <w:tbl>
            <w:tblPr>
              <w:tblW w:w="8760" w:type="dxa"/>
              <w:tblCellMar>
                <w:left w:w="70" w:type="dxa"/>
                <w:right w:w="70" w:type="dxa"/>
              </w:tblCellMar>
              <w:tblLook w:val="04A0" w:firstRow="1" w:lastRow="0" w:firstColumn="1" w:lastColumn="0" w:noHBand="0" w:noVBand="1"/>
            </w:tblPr>
            <w:tblGrid>
              <w:gridCol w:w="1240"/>
              <w:gridCol w:w="5560"/>
              <w:gridCol w:w="1960"/>
            </w:tblGrid>
            <w:tr w:rsidR="00DC4C66" w:rsidRPr="00484290" w:rsidTr="0014616F">
              <w:trPr>
                <w:trHeight w:val="300"/>
              </w:trPr>
              <w:tc>
                <w:tcPr>
                  <w:tcW w:w="124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DC4C66" w:rsidRPr="00484290" w:rsidRDefault="00DC4C66" w:rsidP="0014616F">
                  <w:pPr>
                    <w:jc w:val="center"/>
                    <w:rPr>
                      <w:rFonts w:ascii="Calibri" w:hAnsi="Calibri"/>
                      <w:b/>
                      <w:bCs/>
                      <w:sz w:val="18"/>
                      <w:szCs w:val="18"/>
                      <w:lang w:val="es-EC" w:eastAsia="es-EC"/>
                    </w:rPr>
                  </w:pPr>
                  <w:r w:rsidRPr="00484290">
                    <w:rPr>
                      <w:rFonts w:ascii="Calibri" w:hAnsi="Calibri"/>
                      <w:b/>
                      <w:bCs/>
                      <w:sz w:val="18"/>
                      <w:szCs w:val="18"/>
                      <w:lang w:val="es-EC" w:eastAsia="es-EC"/>
                    </w:rPr>
                    <w:t>Código CN</w:t>
                  </w:r>
                </w:p>
              </w:tc>
              <w:tc>
                <w:tcPr>
                  <w:tcW w:w="5560"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DC4C66" w:rsidRPr="00484290" w:rsidRDefault="00DC4C66" w:rsidP="0014616F">
                  <w:pPr>
                    <w:jc w:val="center"/>
                    <w:rPr>
                      <w:rFonts w:ascii="Calibri" w:hAnsi="Calibri"/>
                      <w:b/>
                      <w:bCs/>
                      <w:sz w:val="18"/>
                      <w:szCs w:val="18"/>
                      <w:lang w:val="es-EC" w:eastAsia="es-EC"/>
                    </w:rPr>
                  </w:pPr>
                  <w:r w:rsidRPr="00484290">
                    <w:rPr>
                      <w:rFonts w:ascii="Calibri" w:hAnsi="Calibri"/>
                      <w:b/>
                      <w:bCs/>
                      <w:sz w:val="18"/>
                      <w:szCs w:val="18"/>
                      <w:lang w:val="es-EC" w:eastAsia="es-EC"/>
                    </w:rPr>
                    <w:t>Variables del formulario SRI 101</w:t>
                  </w:r>
                </w:p>
              </w:tc>
              <w:tc>
                <w:tcPr>
                  <w:tcW w:w="1960"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DC4C66" w:rsidRPr="00484290" w:rsidRDefault="00DC4C66" w:rsidP="0014616F">
                  <w:pPr>
                    <w:jc w:val="center"/>
                    <w:rPr>
                      <w:rFonts w:ascii="Calibri" w:hAnsi="Calibri"/>
                      <w:b/>
                      <w:bCs/>
                      <w:sz w:val="18"/>
                      <w:szCs w:val="18"/>
                      <w:lang w:val="es-EC" w:eastAsia="es-EC"/>
                    </w:rPr>
                  </w:pPr>
                  <w:r w:rsidRPr="00484290">
                    <w:rPr>
                      <w:rFonts w:ascii="Calibri" w:hAnsi="Calibri"/>
                      <w:b/>
                      <w:bCs/>
                      <w:sz w:val="18"/>
                      <w:szCs w:val="18"/>
                      <w:lang w:val="es-EC" w:eastAsia="es-EC"/>
                    </w:rPr>
                    <w:t>Dispensarios 2011</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Inmuebles excepto terrenos</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1.391.100</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Edificios</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0</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Obras en proceso</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305.770</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Instalaciones</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0</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Maquinaria equipo e instalaciones</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1.612.866</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Muebles y enseres</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183.658</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Maquinaria y equipo</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0</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lastRenderedPageBreak/>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Naves aeronaves barcazas y similares</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0</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Equipo de computación y software</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100.222</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Vehículos equipos de transporte y equipo caminero móvil</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41.027</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Activos de exploración y explotación</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0</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Otras propiedades planta y equipo</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67.815</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P.51</w:t>
                  </w:r>
                </w:p>
              </w:tc>
              <w:tc>
                <w:tcPr>
                  <w:tcW w:w="55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Derechos de llave marcas patentes y otros similares</w:t>
                  </w:r>
                </w:p>
              </w:tc>
              <w:tc>
                <w:tcPr>
                  <w:tcW w:w="196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6.542</w:t>
                  </w:r>
                </w:p>
              </w:tc>
            </w:tr>
            <w:tr w:rsidR="00DC4C66" w:rsidRPr="00484290" w:rsidTr="0014616F">
              <w:trPr>
                <w:trHeight w:val="300"/>
              </w:trPr>
              <w:tc>
                <w:tcPr>
                  <w:tcW w:w="1240"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TOTAL P.51P</w:t>
                  </w:r>
                </w:p>
              </w:tc>
              <w:tc>
                <w:tcPr>
                  <w:tcW w:w="5560" w:type="dxa"/>
                  <w:tcBorders>
                    <w:top w:val="nil"/>
                    <w:left w:val="nil"/>
                    <w:bottom w:val="single" w:sz="4" w:space="0" w:color="auto"/>
                    <w:right w:val="single" w:sz="4" w:space="0" w:color="auto"/>
                  </w:tcBorders>
                  <w:shd w:val="clear" w:color="auto" w:fill="DEEAF6" w:themeFill="accent1" w:themeFillTint="33"/>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Formación bruta de capital fijo</w:t>
                  </w:r>
                </w:p>
              </w:tc>
              <w:tc>
                <w:tcPr>
                  <w:tcW w:w="1960" w:type="dxa"/>
                  <w:tcBorders>
                    <w:top w:val="nil"/>
                    <w:left w:val="nil"/>
                    <w:bottom w:val="single" w:sz="4" w:space="0" w:color="auto"/>
                    <w:right w:val="single" w:sz="4" w:space="0" w:color="auto"/>
                  </w:tcBorders>
                  <w:shd w:val="clear" w:color="auto" w:fill="DEEAF6" w:themeFill="accent1" w:themeFillTint="33"/>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3.709.000</w:t>
                  </w:r>
                </w:p>
              </w:tc>
            </w:tr>
          </w:tbl>
          <w:p w:rsidR="00DC4C66" w:rsidRPr="00DC4C66" w:rsidRDefault="00DC4C66" w:rsidP="00DC4C66">
            <w:pPr>
              <w:spacing w:before="120" w:after="120"/>
              <w:jc w:val="both"/>
              <w:rPr>
                <w:rFonts w:asciiTheme="minorHAnsi" w:eastAsiaTheme="minorHAnsi" w:hAnsiTheme="minorHAnsi" w:cs="Arial"/>
                <w:bCs/>
                <w:color w:val="000000"/>
                <w:szCs w:val="22"/>
              </w:rPr>
            </w:pPr>
            <w:r w:rsidRPr="00DC4C66">
              <w:rPr>
                <w:rFonts w:asciiTheme="minorHAnsi" w:eastAsiaTheme="minorHAnsi" w:hAnsiTheme="minorHAnsi" w:cs="Arial"/>
                <w:bCs/>
                <w:color w:val="000000"/>
                <w:szCs w:val="22"/>
              </w:rPr>
              <w:t>Para obtener las cifras en miles de dólares, al valor del cuadro de arriba  se aplica la siguiente fórmula:</w:t>
            </w:r>
          </w:p>
          <w:p w:rsidR="00DC4C66" w:rsidRPr="00DC4C66" w:rsidRDefault="00DC4C66" w:rsidP="00DC4C66">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P.51</w:t>
            </w:r>
            <w:r w:rsidRPr="00DC4C66">
              <w:rPr>
                <w:rFonts w:asciiTheme="minorHAnsi" w:eastAsiaTheme="minorHAnsi" w:hAnsiTheme="minorHAnsi" w:cs="Arial"/>
                <w:bCs/>
                <w:color w:val="000000"/>
                <w:szCs w:val="22"/>
              </w:rPr>
              <w:t>= ENTERO(((3.709.000)/1000)+0.5))</w:t>
            </w:r>
          </w:p>
          <w:p w:rsidR="00DC4C66" w:rsidRPr="00D914BC" w:rsidRDefault="00DC4C66" w:rsidP="00DC4C66">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P.51</w:t>
            </w:r>
            <w:r w:rsidRPr="00DC4C66">
              <w:rPr>
                <w:rFonts w:asciiTheme="minorHAnsi" w:eastAsiaTheme="minorHAnsi" w:hAnsiTheme="minorHAnsi" w:cs="Arial"/>
                <w:bCs/>
                <w:color w:val="000000"/>
                <w:szCs w:val="22"/>
              </w:rPr>
              <w:t xml:space="preserve">= </w:t>
            </w:r>
            <w:r>
              <w:rPr>
                <w:rFonts w:asciiTheme="minorHAnsi" w:eastAsiaTheme="minorHAnsi" w:hAnsiTheme="minorHAnsi" w:cs="Arial"/>
                <w:bCs/>
                <w:color w:val="000000"/>
                <w:szCs w:val="22"/>
              </w:rPr>
              <w:t>3.709</w:t>
            </w:r>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lastRenderedPageBreak/>
              <w:t>P.5</w:t>
            </w:r>
            <w:r>
              <w:rPr>
                <w:rFonts w:asciiTheme="minorHAnsi" w:eastAsiaTheme="minorHAnsi" w:hAnsiTheme="minorHAnsi" w:cs="Arial"/>
                <w:b/>
                <w:bCs/>
                <w:color w:val="000000"/>
                <w:szCs w:val="22"/>
                <w:lang w:val="es-EC"/>
              </w:rPr>
              <w:t>1c  Consumo de capital fijo (-)</w:t>
            </w:r>
          </w:p>
        </w:tc>
      </w:tr>
      <w:tr w:rsidR="004C708F" w:rsidRPr="00080CCB" w:rsidTr="00A815F6">
        <w:trPr>
          <w:jc w:val="center"/>
        </w:trPr>
        <w:tc>
          <w:tcPr>
            <w:tcW w:w="9054" w:type="dxa"/>
            <w:gridSpan w:val="4"/>
            <w:shd w:val="clear" w:color="auto" w:fill="auto"/>
            <w:vAlign w:val="center"/>
          </w:tcPr>
          <w:p w:rsidR="00FD6058" w:rsidRDefault="00FD6058"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 xml:space="preserve">El valor del Consumo de capital fijo proviene la cuenta </w:t>
            </w:r>
            <w:r w:rsidRPr="00D21358">
              <w:rPr>
                <w:rFonts w:asciiTheme="minorHAnsi" w:eastAsiaTheme="minorHAnsi" w:hAnsiTheme="minorHAnsi" w:cs="Arial"/>
                <w:bCs/>
                <w:color w:val="000000"/>
                <w:szCs w:val="22"/>
                <w:lang w:val="es-EC"/>
              </w:rPr>
              <w:t>I. CUENTA DE PRODUCCIÓN</w:t>
            </w:r>
          </w:p>
          <w:p w:rsidR="004C708F" w:rsidRPr="008020C1" w:rsidRDefault="00CF5054" w:rsidP="00CF5054">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P.51c = 2.664</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P.52  Variaciones de existencias</w:t>
            </w:r>
          </w:p>
        </w:tc>
      </w:tr>
      <w:tr w:rsidR="004C708F" w:rsidRPr="00080CCB" w:rsidTr="00A815F6">
        <w:trPr>
          <w:jc w:val="center"/>
        </w:trPr>
        <w:tc>
          <w:tcPr>
            <w:tcW w:w="9054" w:type="dxa"/>
            <w:gridSpan w:val="4"/>
            <w:shd w:val="clear" w:color="auto" w:fill="auto"/>
            <w:vAlign w:val="center"/>
          </w:tcPr>
          <w:p w:rsidR="006F3C76" w:rsidRDefault="006F3C76" w:rsidP="006F3C76">
            <w:pPr>
              <w:spacing w:before="120" w:after="120"/>
              <w:jc w:val="both"/>
              <w:rPr>
                <w:rFonts w:asciiTheme="minorHAnsi" w:hAnsiTheme="minorHAnsi" w:cs="Arial"/>
                <w:szCs w:val="22"/>
              </w:rPr>
            </w:pPr>
            <w:r>
              <w:rPr>
                <w:rFonts w:asciiTheme="minorHAnsi" w:hAnsiTheme="minorHAnsi" w:cs="Arial"/>
                <w:szCs w:val="22"/>
              </w:rPr>
              <w:t xml:space="preserve">Una vez codificada las </w:t>
            </w:r>
            <w:r w:rsidR="00484290">
              <w:rPr>
                <w:rFonts w:asciiTheme="minorHAnsi" w:hAnsiTheme="minorHAnsi" w:cs="Arial"/>
                <w:szCs w:val="22"/>
              </w:rPr>
              <w:t xml:space="preserve">variables </w:t>
            </w:r>
            <w:r>
              <w:rPr>
                <w:rFonts w:asciiTheme="minorHAnsi" w:hAnsiTheme="minorHAnsi" w:cs="Arial"/>
                <w:szCs w:val="22"/>
              </w:rPr>
              <w:t xml:space="preserve"> de la base de ingresos de acuerdo al catálogo de cuentas nacionales</w:t>
            </w:r>
            <w:r w:rsidR="00484290">
              <w:t xml:space="preserve"> </w:t>
            </w:r>
            <w:r w:rsidR="00484290" w:rsidRPr="00484290">
              <w:rPr>
                <w:rFonts w:asciiTheme="minorHAnsi" w:hAnsiTheme="minorHAnsi" w:cs="Arial"/>
                <w:szCs w:val="22"/>
              </w:rPr>
              <w:t>para sociedades no financieras e ISFLSH</w:t>
            </w:r>
            <w:r>
              <w:rPr>
                <w:rFonts w:asciiTheme="minorHAnsi" w:hAnsiTheme="minorHAnsi" w:cs="Arial"/>
                <w:szCs w:val="22"/>
              </w:rPr>
              <w:t>,  se filtra todas las variables correspondientes a la P.52 obteniendo un total como se observa en el siguiente cuadro:</w:t>
            </w:r>
          </w:p>
          <w:tbl>
            <w:tblPr>
              <w:tblW w:w="8820" w:type="dxa"/>
              <w:tblCellMar>
                <w:left w:w="70" w:type="dxa"/>
                <w:right w:w="70" w:type="dxa"/>
              </w:tblCellMar>
              <w:tblLook w:val="04A0" w:firstRow="1" w:lastRow="0" w:firstColumn="1" w:lastColumn="0" w:noHBand="0" w:noVBand="1"/>
            </w:tblPr>
            <w:tblGrid>
              <w:gridCol w:w="1120"/>
              <w:gridCol w:w="6280"/>
              <w:gridCol w:w="1420"/>
            </w:tblGrid>
            <w:tr w:rsidR="00DC4C66" w:rsidRPr="00484290" w:rsidTr="0014616F">
              <w:trPr>
                <w:trHeight w:val="1200"/>
              </w:trPr>
              <w:tc>
                <w:tcPr>
                  <w:tcW w:w="11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DC4C66" w:rsidRPr="00484290" w:rsidRDefault="00DC4C66" w:rsidP="0014616F">
                  <w:pPr>
                    <w:jc w:val="center"/>
                    <w:rPr>
                      <w:rFonts w:ascii="Calibri" w:hAnsi="Calibri"/>
                      <w:b/>
                      <w:bCs/>
                      <w:sz w:val="18"/>
                      <w:szCs w:val="18"/>
                      <w:lang w:val="es-EC" w:eastAsia="es-EC"/>
                    </w:rPr>
                  </w:pPr>
                  <w:r w:rsidRPr="00484290">
                    <w:rPr>
                      <w:rFonts w:ascii="Calibri" w:hAnsi="Calibri"/>
                      <w:b/>
                      <w:bCs/>
                      <w:sz w:val="18"/>
                      <w:szCs w:val="18"/>
                      <w:lang w:val="es-EC" w:eastAsia="es-EC"/>
                    </w:rPr>
                    <w:t>Código CN</w:t>
                  </w:r>
                </w:p>
              </w:tc>
              <w:tc>
                <w:tcPr>
                  <w:tcW w:w="6280"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DC4C66" w:rsidRPr="00484290" w:rsidRDefault="00DC4C66" w:rsidP="0014616F">
                  <w:pPr>
                    <w:jc w:val="center"/>
                    <w:rPr>
                      <w:rFonts w:ascii="Calibri" w:hAnsi="Calibri"/>
                      <w:b/>
                      <w:bCs/>
                      <w:sz w:val="18"/>
                      <w:szCs w:val="18"/>
                      <w:lang w:val="es-EC" w:eastAsia="es-EC"/>
                    </w:rPr>
                  </w:pPr>
                  <w:r w:rsidRPr="00484290">
                    <w:rPr>
                      <w:rFonts w:ascii="Calibri" w:hAnsi="Calibri"/>
                      <w:b/>
                      <w:bCs/>
                      <w:sz w:val="18"/>
                      <w:szCs w:val="18"/>
                      <w:lang w:val="es-EC" w:eastAsia="es-EC"/>
                    </w:rPr>
                    <w:t>Variables del formulario SRI 101</w:t>
                  </w:r>
                </w:p>
              </w:tc>
              <w:tc>
                <w:tcPr>
                  <w:tcW w:w="1420"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DC4C66" w:rsidRPr="00484290" w:rsidRDefault="00DC4C66" w:rsidP="0014616F">
                  <w:pPr>
                    <w:jc w:val="center"/>
                    <w:rPr>
                      <w:rFonts w:ascii="Calibri" w:hAnsi="Calibri"/>
                      <w:b/>
                      <w:bCs/>
                      <w:sz w:val="18"/>
                      <w:szCs w:val="18"/>
                      <w:lang w:val="es-EC" w:eastAsia="es-EC"/>
                    </w:rPr>
                  </w:pPr>
                  <w:r w:rsidRPr="00484290">
                    <w:rPr>
                      <w:rFonts w:ascii="Calibri" w:hAnsi="Calibri"/>
                      <w:b/>
                      <w:bCs/>
                      <w:sz w:val="18"/>
                      <w:szCs w:val="18"/>
                      <w:lang w:val="es-EC" w:eastAsia="es-EC"/>
                    </w:rPr>
                    <w:t>Dispensarios 2011</w:t>
                  </w:r>
                </w:p>
              </w:tc>
            </w:tr>
            <w:tr w:rsidR="00DC4C66" w:rsidRPr="00484290" w:rsidTr="0014616F">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-P.11</w:t>
                  </w:r>
                </w:p>
              </w:tc>
              <w:tc>
                <w:tcPr>
                  <w:tcW w:w="628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Costo inventario inicial bienes no producidos por el sujeto pasivo</w:t>
                  </w:r>
                </w:p>
              </w:tc>
              <w:tc>
                <w:tcPr>
                  <w:tcW w:w="142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41.933</w:t>
                  </w:r>
                </w:p>
              </w:tc>
            </w:tr>
            <w:tr w:rsidR="00DC4C66" w:rsidRPr="00484290" w:rsidTr="0014616F">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P.11</w:t>
                  </w:r>
                </w:p>
              </w:tc>
              <w:tc>
                <w:tcPr>
                  <w:tcW w:w="628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Costo inventario final bienes no producidos por el sujeto pasivo</w:t>
                  </w:r>
                </w:p>
              </w:tc>
              <w:tc>
                <w:tcPr>
                  <w:tcW w:w="142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44.002</w:t>
                  </w:r>
                </w:p>
              </w:tc>
            </w:tr>
            <w:tr w:rsidR="00DC4C66" w:rsidRPr="00484290" w:rsidTr="0014616F">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P.2</w:t>
                  </w:r>
                </w:p>
              </w:tc>
              <w:tc>
                <w:tcPr>
                  <w:tcW w:w="628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Costo inventario inicial materia prima</w:t>
                  </w:r>
                </w:p>
              </w:tc>
              <w:tc>
                <w:tcPr>
                  <w:tcW w:w="142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0</w:t>
                  </w:r>
                </w:p>
              </w:tc>
            </w:tr>
            <w:tr w:rsidR="00DC4C66" w:rsidRPr="00484290" w:rsidTr="0014616F">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-P.2</w:t>
                  </w:r>
                </w:p>
              </w:tc>
              <w:tc>
                <w:tcPr>
                  <w:tcW w:w="628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Costo inventario final materia prima</w:t>
                  </w:r>
                </w:p>
              </w:tc>
              <w:tc>
                <w:tcPr>
                  <w:tcW w:w="142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0</w:t>
                  </w:r>
                </w:p>
              </w:tc>
            </w:tr>
            <w:tr w:rsidR="00DC4C66" w:rsidRPr="00484290" w:rsidTr="0014616F">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-P.11</w:t>
                  </w:r>
                </w:p>
              </w:tc>
              <w:tc>
                <w:tcPr>
                  <w:tcW w:w="628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Costo inventario inicial productos en proceso</w:t>
                  </w:r>
                </w:p>
              </w:tc>
              <w:tc>
                <w:tcPr>
                  <w:tcW w:w="142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0</w:t>
                  </w:r>
                </w:p>
              </w:tc>
            </w:tr>
            <w:tr w:rsidR="00DC4C66" w:rsidRPr="00484290" w:rsidTr="0014616F">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P.11</w:t>
                  </w:r>
                </w:p>
              </w:tc>
              <w:tc>
                <w:tcPr>
                  <w:tcW w:w="628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Costo inventario final productos en proceso</w:t>
                  </w:r>
                </w:p>
              </w:tc>
              <w:tc>
                <w:tcPr>
                  <w:tcW w:w="142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0</w:t>
                  </w:r>
                </w:p>
              </w:tc>
            </w:tr>
            <w:tr w:rsidR="00DC4C66" w:rsidRPr="00484290" w:rsidTr="0014616F">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-P.11</w:t>
                  </w:r>
                </w:p>
              </w:tc>
              <w:tc>
                <w:tcPr>
                  <w:tcW w:w="628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Costo inventario inicial productos terminados</w:t>
                  </w:r>
                </w:p>
              </w:tc>
              <w:tc>
                <w:tcPr>
                  <w:tcW w:w="142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0</w:t>
                  </w:r>
                </w:p>
              </w:tc>
            </w:tr>
            <w:tr w:rsidR="00DC4C66" w:rsidRPr="00484290" w:rsidTr="0014616F">
              <w:trPr>
                <w:trHeight w:val="30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P.11</w:t>
                  </w:r>
                </w:p>
              </w:tc>
              <w:tc>
                <w:tcPr>
                  <w:tcW w:w="628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Costo inventario final productos terminados</w:t>
                  </w:r>
                </w:p>
              </w:tc>
              <w:tc>
                <w:tcPr>
                  <w:tcW w:w="1420" w:type="dxa"/>
                  <w:tcBorders>
                    <w:top w:val="nil"/>
                    <w:left w:val="nil"/>
                    <w:bottom w:val="single" w:sz="4" w:space="0" w:color="auto"/>
                    <w:right w:val="single" w:sz="4" w:space="0" w:color="auto"/>
                  </w:tcBorders>
                  <w:shd w:val="clear" w:color="auto" w:fill="auto"/>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0</w:t>
                  </w:r>
                </w:p>
              </w:tc>
            </w:tr>
            <w:tr w:rsidR="00DC4C66" w:rsidRPr="00484290" w:rsidTr="0014616F">
              <w:trPr>
                <w:trHeight w:val="300"/>
              </w:trPr>
              <w:tc>
                <w:tcPr>
                  <w:tcW w:w="1120"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DC4C66" w:rsidRPr="00484290" w:rsidRDefault="00DC4C66" w:rsidP="0014616F">
                  <w:pPr>
                    <w:rPr>
                      <w:rFonts w:ascii="Calibri" w:hAnsi="Calibri"/>
                      <w:sz w:val="18"/>
                      <w:szCs w:val="18"/>
                      <w:lang w:val="es-EC" w:eastAsia="es-EC"/>
                    </w:rPr>
                  </w:pPr>
                  <w:r w:rsidRPr="00484290">
                    <w:rPr>
                      <w:rFonts w:ascii="Calibri" w:hAnsi="Calibri"/>
                      <w:sz w:val="18"/>
                      <w:szCs w:val="18"/>
                      <w:lang w:val="es-EC" w:eastAsia="es-EC"/>
                    </w:rPr>
                    <w:t>TOTAL P.52</w:t>
                  </w:r>
                </w:p>
              </w:tc>
              <w:tc>
                <w:tcPr>
                  <w:tcW w:w="6280" w:type="dxa"/>
                  <w:tcBorders>
                    <w:top w:val="nil"/>
                    <w:left w:val="nil"/>
                    <w:bottom w:val="single" w:sz="4" w:space="0" w:color="auto"/>
                    <w:right w:val="single" w:sz="4" w:space="0" w:color="auto"/>
                  </w:tcBorders>
                  <w:shd w:val="clear" w:color="auto" w:fill="DEEAF6" w:themeFill="accent1" w:themeFillTint="33"/>
                  <w:vAlign w:val="center"/>
                  <w:hideMark/>
                </w:tcPr>
                <w:p w:rsidR="00DC4C66" w:rsidRPr="00484290" w:rsidRDefault="00DC4C66" w:rsidP="0014616F">
                  <w:pPr>
                    <w:rPr>
                      <w:rFonts w:ascii="Calibri" w:hAnsi="Calibri"/>
                      <w:b/>
                      <w:bCs/>
                      <w:sz w:val="18"/>
                      <w:szCs w:val="18"/>
                      <w:lang w:val="es-EC" w:eastAsia="es-EC"/>
                    </w:rPr>
                  </w:pPr>
                  <w:r w:rsidRPr="00484290">
                    <w:rPr>
                      <w:rFonts w:ascii="Calibri" w:hAnsi="Calibri"/>
                      <w:b/>
                      <w:bCs/>
                      <w:sz w:val="18"/>
                      <w:szCs w:val="18"/>
                      <w:lang w:val="es-EC" w:eastAsia="es-EC"/>
                    </w:rPr>
                    <w:t>Variaciones de existencias</w:t>
                  </w:r>
                </w:p>
              </w:tc>
              <w:tc>
                <w:tcPr>
                  <w:tcW w:w="1420" w:type="dxa"/>
                  <w:tcBorders>
                    <w:top w:val="nil"/>
                    <w:left w:val="nil"/>
                    <w:bottom w:val="single" w:sz="4" w:space="0" w:color="auto"/>
                    <w:right w:val="single" w:sz="4" w:space="0" w:color="auto"/>
                  </w:tcBorders>
                  <w:shd w:val="clear" w:color="auto" w:fill="DEEAF6" w:themeFill="accent1" w:themeFillTint="33"/>
                  <w:noWrap/>
                  <w:vAlign w:val="center"/>
                  <w:hideMark/>
                </w:tcPr>
                <w:p w:rsidR="00DC4C66" w:rsidRPr="00484290" w:rsidRDefault="00DC4C66" w:rsidP="0014616F">
                  <w:pPr>
                    <w:jc w:val="right"/>
                    <w:rPr>
                      <w:rFonts w:ascii="Calibri" w:hAnsi="Calibri"/>
                      <w:sz w:val="18"/>
                      <w:szCs w:val="18"/>
                      <w:lang w:val="es-EC" w:eastAsia="es-EC"/>
                    </w:rPr>
                  </w:pPr>
                  <w:r w:rsidRPr="00484290">
                    <w:rPr>
                      <w:rFonts w:ascii="Calibri" w:hAnsi="Calibri"/>
                      <w:sz w:val="18"/>
                      <w:szCs w:val="18"/>
                      <w:lang w:val="es-EC" w:eastAsia="es-EC"/>
                    </w:rPr>
                    <w:t>2.069</w:t>
                  </w:r>
                </w:p>
              </w:tc>
            </w:tr>
          </w:tbl>
          <w:p w:rsidR="00DC4C66" w:rsidRPr="00DC4C66" w:rsidRDefault="00DC4C66" w:rsidP="00DC4C66">
            <w:pPr>
              <w:spacing w:before="120" w:after="120"/>
              <w:jc w:val="both"/>
              <w:rPr>
                <w:rFonts w:asciiTheme="minorHAnsi" w:eastAsiaTheme="minorHAnsi" w:hAnsiTheme="minorHAnsi" w:cs="Arial"/>
                <w:bCs/>
                <w:color w:val="000000"/>
                <w:szCs w:val="22"/>
              </w:rPr>
            </w:pPr>
            <w:r w:rsidRPr="00DC4C66">
              <w:rPr>
                <w:rFonts w:asciiTheme="minorHAnsi" w:eastAsiaTheme="minorHAnsi" w:hAnsiTheme="minorHAnsi" w:cs="Arial"/>
                <w:bCs/>
                <w:color w:val="000000"/>
                <w:szCs w:val="22"/>
              </w:rPr>
              <w:lastRenderedPageBreak/>
              <w:t>Para obtener las cifras en miles de dólares, al valor del cuadro de arriba  se aplica la siguiente fórmula:</w:t>
            </w:r>
          </w:p>
          <w:p w:rsidR="00DC4C66" w:rsidRPr="00DC4C66" w:rsidRDefault="007C109B" w:rsidP="00DC4C66">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P.52</w:t>
            </w:r>
            <w:r w:rsidR="00DC4C66" w:rsidRPr="00DC4C66">
              <w:rPr>
                <w:rFonts w:asciiTheme="minorHAnsi" w:eastAsiaTheme="minorHAnsi" w:hAnsiTheme="minorHAnsi" w:cs="Arial"/>
                <w:bCs/>
                <w:color w:val="000000"/>
                <w:szCs w:val="22"/>
              </w:rPr>
              <w:t>= ENTERO(((</w:t>
            </w:r>
            <w:r>
              <w:rPr>
                <w:rFonts w:asciiTheme="minorHAnsi" w:eastAsiaTheme="minorHAnsi" w:hAnsiTheme="minorHAnsi" w:cs="Arial"/>
                <w:bCs/>
                <w:color w:val="000000"/>
                <w:szCs w:val="22"/>
              </w:rPr>
              <w:t>2.069</w:t>
            </w:r>
            <w:r w:rsidR="00DC4C66" w:rsidRPr="00DC4C66">
              <w:rPr>
                <w:rFonts w:asciiTheme="minorHAnsi" w:eastAsiaTheme="minorHAnsi" w:hAnsiTheme="minorHAnsi" w:cs="Arial"/>
                <w:bCs/>
                <w:color w:val="000000"/>
                <w:szCs w:val="22"/>
              </w:rPr>
              <w:t>)/1000)+0.5))</w:t>
            </w:r>
          </w:p>
          <w:p w:rsidR="00DC4C66" w:rsidRPr="006F3C76" w:rsidRDefault="007C109B" w:rsidP="007C109B">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P.52</w:t>
            </w:r>
            <w:r w:rsidR="00DC4C66" w:rsidRPr="00DC4C66">
              <w:rPr>
                <w:rFonts w:asciiTheme="minorHAnsi" w:eastAsiaTheme="minorHAnsi" w:hAnsiTheme="minorHAnsi" w:cs="Arial"/>
                <w:bCs/>
                <w:color w:val="000000"/>
                <w:szCs w:val="22"/>
              </w:rPr>
              <w:t>= 2</w:t>
            </w:r>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lastRenderedPageBreak/>
              <w:t xml:space="preserve">P.53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4C708F" w:rsidRPr="00080CCB" w:rsidTr="00A815F6">
        <w:trPr>
          <w:jc w:val="center"/>
        </w:trPr>
        <w:tc>
          <w:tcPr>
            <w:tcW w:w="9054" w:type="dxa"/>
            <w:gridSpan w:val="4"/>
            <w:shd w:val="clear" w:color="auto" w:fill="auto"/>
            <w:vAlign w:val="center"/>
          </w:tcPr>
          <w:p w:rsidR="004C708F" w:rsidRPr="00F13702" w:rsidRDefault="00484290" w:rsidP="00D0251C">
            <w:pPr>
              <w:spacing w:before="120" w:after="120"/>
              <w:jc w:val="both"/>
              <w:rPr>
                <w:rFonts w:asciiTheme="minorHAnsi" w:eastAsiaTheme="minorHAnsi" w:hAnsiTheme="minorHAnsi" w:cs="Arial"/>
                <w:bCs/>
                <w:color w:val="000000"/>
                <w:szCs w:val="22"/>
              </w:rPr>
            </w:pPr>
            <w:r w:rsidRPr="00F13702">
              <w:rPr>
                <w:rFonts w:asciiTheme="minorHAnsi" w:eastAsiaTheme="minorHAnsi" w:hAnsiTheme="minorHAnsi" w:cs="Arial"/>
                <w:bCs/>
                <w:color w:val="000000"/>
                <w:szCs w:val="22"/>
              </w:rPr>
              <w:t>No aplica a sociedades no financieras e ISFLSH</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4C708F" w:rsidRPr="00080CCB" w:rsidTr="00A815F6">
        <w:trPr>
          <w:jc w:val="center"/>
        </w:trPr>
        <w:tc>
          <w:tcPr>
            <w:tcW w:w="9054" w:type="dxa"/>
            <w:gridSpan w:val="4"/>
            <w:shd w:val="clear" w:color="auto" w:fill="auto"/>
            <w:vAlign w:val="center"/>
          </w:tcPr>
          <w:p w:rsidR="004C708F" w:rsidRPr="008020C1" w:rsidRDefault="00D0251C" w:rsidP="00484290">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Esta variable </w:t>
            </w:r>
            <w:r w:rsidR="00484290">
              <w:rPr>
                <w:rFonts w:asciiTheme="minorHAnsi" w:eastAsiaTheme="minorHAnsi" w:hAnsiTheme="minorHAnsi" w:cs="Arial"/>
                <w:bCs/>
                <w:color w:val="000000"/>
                <w:szCs w:val="22"/>
              </w:rPr>
              <w:t xml:space="preserve"> por cuestiones metodológicas ya no se implementa.</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4C708F" w:rsidRPr="00D0251C" w:rsidTr="00A815F6">
        <w:trPr>
          <w:jc w:val="center"/>
        </w:trPr>
        <w:tc>
          <w:tcPr>
            <w:tcW w:w="9054" w:type="dxa"/>
            <w:gridSpan w:val="4"/>
            <w:shd w:val="clear" w:color="auto" w:fill="auto"/>
            <w:vAlign w:val="center"/>
          </w:tcPr>
          <w:p w:rsidR="00D0251C" w:rsidRPr="0018477A" w:rsidRDefault="00A315F7" w:rsidP="00D0251C">
            <w:pPr>
              <w:shd w:val="clear" w:color="auto" w:fill="FFFFFF" w:themeFill="background1"/>
              <w:spacing w:before="120" w:after="120"/>
              <w:rPr>
                <w:color w:val="000000"/>
                <w:szCs w:val="22"/>
                <w:lang w:val="en-US"/>
              </w:rPr>
            </w:pPr>
            <w:r>
              <w:rPr>
                <w:b/>
                <w:noProof/>
                <w:color w:val="000000"/>
                <w:sz w:val="6"/>
                <w:szCs w:val="22"/>
                <w:lang w:val="es-EC" w:eastAsia="es-EC"/>
              </w:rPr>
              <w:pict>
                <v:shape id="_x0000_s1029" type="#_x0000_t87" style="position:absolute;margin-left:227pt;margin-top:-62.9pt;width:4.95pt;height:171.8pt;rotation:270;z-index:251663360;mso-position-horizontal-relative:text;mso-position-vertical-relative:text"/>
              </w:pict>
            </w:r>
            <w:r>
              <w:rPr>
                <w:b/>
                <w:noProof/>
                <w:color w:val="000000"/>
                <w:sz w:val="6"/>
                <w:szCs w:val="22"/>
                <w:lang w:val="es-EC" w:eastAsia="es-EC"/>
              </w:rPr>
              <w:pict>
                <v:shape id="_x0000_s1028" type="#_x0000_t87" style="position:absolute;margin-left:75.25pt;margin-top:-25.7pt;width:4.95pt;height:97.35pt;rotation:270;z-index:251662336;mso-position-horizontal-relative:text;mso-position-vertical-relative:text"/>
              </w:pict>
            </w:r>
            <w:r w:rsidR="00D0251C"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D0251C" w:rsidRPr="00AF1749" w:rsidRDefault="00D0251C" w:rsidP="00D0251C">
            <w:pPr>
              <w:shd w:val="clear" w:color="auto" w:fill="FFFFFF" w:themeFill="background1"/>
              <w:spacing w:before="120" w:after="120"/>
              <w:rPr>
                <w:color w:val="000000"/>
                <w:sz w:val="2"/>
                <w:szCs w:val="22"/>
                <w:lang w:val="en-US"/>
              </w:rPr>
            </w:pPr>
          </w:p>
          <w:p w:rsidR="00D0251C" w:rsidRPr="009F021A" w:rsidRDefault="00D0251C" w:rsidP="00D0251C">
            <w:pPr>
              <w:shd w:val="clear" w:color="auto" w:fill="FFFFFF" w:themeFill="background1"/>
              <w:spacing w:before="120" w:after="120"/>
              <w:rPr>
                <w:color w:val="000000"/>
                <w:szCs w:val="22"/>
                <w:lang w:val="es-EC"/>
              </w:rPr>
            </w:pPr>
            <w:r w:rsidRPr="00BB4E34">
              <w:rPr>
                <w:rFonts w:asciiTheme="minorHAnsi" w:eastAsiaTheme="minorEastAsia" w:hAnsiTheme="minorHAnsi" w:cs="Arial"/>
                <w:bCs/>
                <w:color w:val="000000"/>
                <w:szCs w:val="22"/>
                <w:lang w:val="en-US"/>
              </w:rPr>
              <w:t xml:space="preserve">         </w:t>
            </w:r>
            <w:r w:rsidRPr="00BB4E34">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D0251C" w:rsidRPr="00D0251C" w:rsidRDefault="00D0251C" w:rsidP="00D0251C">
            <w:pPr>
              <w:shd w:val="clear" w:color="auto" w:fill="FFFFFF" w:themeFill="background1"/>
              <w:spacing w:before="120" w:after="120"/>
              <w:rPr>
                <w:rFonts w:asciiTheme="minorHAnsi" w:hAnsiTheme="minorHAnsi"/>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
                </m:rPr>
                <w:rPr>
                  <w:rFonts w:ascii="Cambria Math" w:eastAsiaTheme="minorHAnsi" w:hAnsi="Cambria Math" w:cs="Arial"/>
                  <w:color w:val="000000"/>
                  <w:szCs w:val="22"/>
                  <w:lang w:val="es-EC"/>
                </w:rPr>
                <m:t>9</m:t>
              </m:r>
              <m:r>
                <m:rPr>
                  <m:sty m:val="p"/>
                </m:rPr>
                <w:rPr>
                  <w:rFonts w:ascii="Cambria Math" w:eastAsiaTheme="minorHAnsi" w:hAnsi="Cambria Math" w:cs="Arial"/>
                  <w:color w:val="000000"/>
                  <w:szCs w:val="22"/>
                  <w:lang w:val="en-US"/>
                </w:rPr>
                <m:t>=Ahorro neto+Transferencias de capital recibidas-Transferencias de capital pagadas-Formación bruta de capital fijo+Consumo de capital fijo-Variaciones de existencias-Adquisiciones menos disposiciones de objetos valiosos-Adquisición menos disposiciones de activos no financieros no producidos</m:t>
              </m:r>
            </m:oMath>
          </w:p>
          <w:p w:rsidR="00D0251C" w:rsidRPr="0018477A" w:rsidRDefault="00D0251C" w:rsidP="00D0251C">
            <w:pPr>
              <w:shd w:val="clear" w:color="auto" w:fill="FFFFFF" w:themeFill="background1"/>
              <w:spacing w:before="120" w:after="120"/>
              <w:rPr>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sidR="00484290" w:rsidRPr="00484290">
              <w:rPr>
                <w:rFonts w:ascii="Calibri" w:hAnsi="Calibri"/>
                <w:color w:val="000000"/>
                <w:szCs w:val="22"/>
                <w:lang w:val="en-US"/>
              </w:rPr>
              <w:t>29.817</w:t>
            </w:r>
            <m:oMath>
              <m:r>
                <m:rPr>
                  <m:sty m:val="p"/>
                </m:rPr>
                <w:rPr>
                  <w:rFonts w:ascii="Cambria Math" w:eastAsiaTheme="minorHAnsi" w:hAnsi="Cambria Math"/>
                  <w:color w:val="000000"/>
                  <w:szCs w:val="22"/>
                  <w:lang w:val="en-US"/>
                </w:rPr>
                <m:t xml:space="preserve"> </m:t>
              </m:r>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-3709+2664-</m:t>
              </m:r>
              <m:r>
                <w:rPr>
                  <w:rFonts w:ascii="Cambria Math" w:eastAsiaTheme="minorHAnsi" w:hAnsi="Cambria Math" w:cs="Arial"/>
                  <w:color w:val="000000"/>
                  <w:szCs w:val="22"/>
                  <w:lang w:val="es-EC"/>
                </w:rPr>
                <m:t>2</m:t>
              </m:r>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oMath>
          </w:p>
          <w:p w:rsidR="004C708F" w:rsidRPr="00D0251C" w:rsidRDefault="00D0251C" w:rsidP="004919A3">
            <w:pPr>
              <w:spacing w:before="120" w:after="120"/>
              <w:jc w:val="both"/>
              <w:rPr>
                <w:rFonts w:asciiTheme="minorHAnsi" w:eastAsiaTheme="minorHAnsi" w:hAnsiTheme="minorHAnsi" w:cs="Arial"/>
                <w:b/>
                <w:bCs/>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Pr>
                <w:rFonts w:ascii="Calibri" w:hAnsi="Calibri"/>
                <w:color w:val="000000"/>
                <w:szCs w:val="22"/>
                <w:lang w:val="en-US"/>
              </w:rPr>
              <w:t xml:space="preserve"> </w:t>
            </w:r>
            <w:r w:rsidR="00484290" w:rsidRPr="00484290">
              <w:rPr>
                <w:rFonts w:ascii="Calibri" w:hAnsi="Calibri"/>
                <w:color w:val="000000"/>
                <w:szCs w:val="22"/>
                <w:lang w:val="en-US"/>
              </w:rPr>
              <w:t>28.770</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7. LIMITACIONES TÉCNICAS</w:t>
            </w:r>
          </w:p>
        </w:tc>
      </w:tr>
      <w:tr w:rsidR="004C708F" w:rsidRPr="00080CCB" w:rsidTr="00484290">
        <w:trPr>
          <w:jc w:val="center"/>
        </w:trPr>
        <w:tc>
          <w:tcPr>
            <w:tcW w:w="9054" w:type="dxa"/>
            <w:gridSpan w:val="4"/>
            <w:shd w:val="clear" w:color="auto" w:fill="auto"/>
            <w:vAlign w:val="center"/>
          </w:tcPr>
          <w:p w:rsidR="004C708F" w:rsidRPr="00991196" w:rsidRDefault="004C708F" w:rsidP="00A315F7">
            <w:pPr>
              <w:spacing w:before="120" w:after="120"/>
              <w:jc w:val="both"/>
              <w:rPr>
                <w:rFonts w:asciiTheme="minorHAnsi" w:hAnsiTheme="minorHAnsi" w:cs="Arial"/>
                <w:szCs w:val="22"/>
              </w:rPr>
            </w:pPr>
            <w:r w:rsidRPr="00991196">
              <w:rPr>
                <w:rFonts w:asciiTheme="minorHAnsi" w:hAnsiTheme="minorHAnsi" w:cs="Arial"/>
                <w:szCs w:val="22"/>
              </w:rPr>
              <w:t xml:space="preserve">Las entidades que suministran de la información cruda no entregan en tiempo adecuado dicha información </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hAnsiTheme="minorHAnsi" w:cs="Arial"/>
                <w:szCs w:val="22"/>
              </w:rPr>
            </w:pPr>
            <w:r w:rsidRPr="00080CCB">
              <w:rPr>
                <w:rFonts w:asciiTheme="minorHAnsi" w:eastAsiaTheme="minorHAnsi" w:hAnsiTheme="minorHAnsi" w:cs="Arial"/>
                <w:b/>
                <w:bCs/>
                <w:color w:val="000000"/>
                <w:szCs w:val="22"/>
                <w:lang w:val="es-EC"/>
              </w:rPr>
              <w:t>UNIDAD DE MEDIDA O EXPRESIÓN DEL INDICADOR</w:t>
            </w:r>
          </w:p>
        </w:tc>
        <w:tc>
          <w:tcPr>
            <w:tcW w:w="3559" w:type="dxa"/>
            <w:vAlign w:val="center"/>
          </w:tcPr>
          <w:p w:rsidR="004C708F" w:rsidRPr="00080CCB" w:rsidRDefault="004C708F" w:rsidP="009036BF">
            <w:pPr>
              <w:jc w:val="both"/>
              <w:rPr>
                <w:rFonts w:asciiTheme="minorHAnsi" w:hAnsiTheme="minorHAnsi" w:cs="Arial"/>
                <w:szCs w:val="22"/>
              </w:rPr>
            </w:pPr>
            <w:r>
              <w:rPr>
                <w:rFonts w:asciiTheme="minorHAnsi" w:hAnsiTheme="minorHAnsi" w:cs="Arial"/>
                <w:szCs w:val="22"/>
              </w:rPr>
              <w:t xml:space="preserve">Miles de dólares </w:t>
            </w:r>
          </w:p>
        </w:tc>
      </w:tr>
      <w:tr w:rsidR="004C708F" w:rsidRPr="00080CCB" w:rsidTr="00484290">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INTERPRETACIÓN DEL INDICADOR</w:t>
            </w:r>
          </w:p>
        </w:tc>
        <w:tc>
          <w:tcPr>
            <w:tcW w:w="3559" w:type="dxa"/>
            <w:shd w:val="clear" w:color="auto" w:fill="auto"/>
            <w:vAlign w:val="center"/>
          </w:tcPr>
          <w:p w:rsidR="004C708F" w:rsidRPr="00326516" w:rsidRDefault="004C708F" w:rsidP="00484290">
            <w:pPr>
              <w:jc w:val="both"/>
              <w:rPr>
                <w:rFonts w:asciiTheme="minorHAnsi" w:hAnsiTheme="minorHAnsi" w:cs="Arial"/>
                <w:szCs w:val="22"/>
                <w:lang w:val="es-EC"/>
              </w:rPr>
            </w:pPr>
            <w:r>
              <w:rPr>
                <w:rFonts w:asciiTheme="minorHAnsi" w:hAnsiTheme="minorHAnsi" w:cs="Arial"/>
                <w:szCs w:val="22"/>
              </w:rPr>
              <w:t>No aplica</w:t>
            </w:r>
          </w:p>
        </w:tc>
      </w:tr>
      <w:tr w:rsidR="004C708F" w:rsidRPr="00080CCB" w:rsidTr="00484290">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FUENTE DE DATOS</w:t>
            </w:r>
          </w:p>
        </w:tc>
        <w:tc>
          <w:tcPr>
            <w:tcW w:w="3559" w:type="dxa"/>
            <w:shd w:val="clear" w:color="auto" w:fill="auto"/>
            <w:vAlign w:val="center"/>
          </w:tcPr>
          <w:p w:rsidR="00484290" w:rsidRPr="002E0514" w:rsidRDefault="00484290" w:rsidP="00484290">
            <w:pPr>
              <w:pStyle w:val="Prrafodelista"/>
              <w:spacing w:before="120" w:after="120"/>
              <w:ind w:left="0"/>
              <w:mirrorIndents/>
              <w:rPr>
                <w:rFonts w:asciiTheme="minorHAnsi" w:hAnsiTheme="minorHAnsi" w:cs="Arial"/>
                <w:b/>
                <w:sz w:val="24"/>
              </w:rPr>
            </w:pPr>
            <w:r w:rsidRPr="002E0514">
              <w:rPr>
                <w:rFonts w:asciiTheme="minorHAnsi" w:hAnsiTheme="minorHAnsi" w:cs="Arial"/>
                <w:b/>
              </w:rPr>
              <w:t>Instituciones sin fines de lucro que sirven a los Hogares:</w:t>
            </w:r>
          </w:p>
          <w:p w:rsidR="00484290" w:rsidRPr="00991196" w:rsidRDefault="00484290" w:rsidP="00484290">
            <w:pPr>
              <w:pStyle w:val="Prrafodelista"/>
              <w:spacing w:before="120" w:after="120"/>
              <w:ind w:left="0"/>
              <w:mirrorIndents/>
              <w:rPr>
                <w:rFonts w:asciiTheme="minorHAnsi" w:hAnsiTheme="minorHAnsi" w:cs="Arial"/>
              </w:rPr>
            </w:pPr>
            <w:r w:rsidRPr="00991196">
              <w:rPr>
                <w:rFonts w:asciiTheme="minorHAnsi" w:hAnsiTheme="minorHAnsi" w:cs="Arial"/>
              </w:rPr>
              <w:t xml:space="preserve">Balances de Situación y Balances de </w:t>
            </w:r>
            <w:r w:rsidRPr="00991196">
              <w:rPr>
                <w:rFonts w:asciiTheme="minorHAnsi" w:hAnsiTheme="minorHAnsi" w:cs="Arial"/>
              </w:rPr>
              <w:lastRenderedPageBreak/>
              <w:t>Resultados</w:t>
            </w:r>
          </w:p>
          <w:p w:rsidR="00484290" w:rsidRPr="00EE33A1" w:rsidRDefault="00484290" w:rsidP="00484290">
            <w:pPr>
              <w:pStyle w:val="Prrafodelista"/>
              <w:numPr>
                <w:ilvl w:val="0"/>
                <w:numId w:val="9"/>
              </w:numPr>
              <w:spacing w:before="120" w:after="120"/>
              <w:mirrorIndents/>
              <w:rPr>
                <w:rFonts w:asciiTheme="minorHAnsi" w:hAnsiTheme="minorHAnsi" w:cs="Arial"/>
              </w:rPr>
            </w:pPr>
            <w:r w:rsidRPr="00EE33A1">
              <w:rPr>
                <w:rFonts w:asciiTheme="minorHAnsi" w:hAnsiTheme="minorHAnsi" w:cs="Arial"/>
              </w:rPr>
              <w:t xml:space="preserve">Superintendencia de Compañías y Seguros </w:t>
            </w:r>
          </w:p>
          <w:p w:rsidR="00484290" w:rsidRPr="00E819B0" w:rsidRDefault="00484290" w:rsidP="00484290">
            <w:pPr>
              <w:pStyle w:val="Prrafodelista"/>
              <w:numPr>
                <w:ilvl w:val="0"/>
                <w:numId w:val="9"/>
              </w:numPr>
              <w:spacing w:before="120" w:after="120"/>
              <w:mirrorIndents/>
              <w:rPr>
                <w:rFonts w:asciiTheme="minorHAnsi" w:hAnsiTheme="minorHAnsi" w:cs="Arial"/>
                <w:szCs w:val="22"/>
              </w:rPr>
            </w:pPr>
            <w:r w:rsidRPr="00EE33A1">
              <w:rPr>
                <w:rFonts w:asciiTheme="minorHAnsi" w:hAnsiTheme="minorHAnsi" w:cs="Arial"/>
              </w:rPr>
              <w:t>Servicio de Rentas Internas</w:t>
            </w:r>
          </w:p>
          <w:p w:rsidR="004C708F" w:rsidRPr="00484290" w:rsidRDefault="00484290" w:rsidP="00484290">
            <w:pPr>
              <w:jc w:val="both"/>
              <w:rPr>
                <w:rFonts w:asciiTheme="minorHAnsi" w:hAnsiTheme="minorHAnsi" w:cs="Arial"/>
                <w:szCs w:val="22"/>
              </w:rPr>
            </w:pPr>
            <w:r w:rsidRPr="00F86E68">
              <w:rPr>
                <w:rFonts w:asciiTheme="minorHAnsi" w:hAnsiTheme="minorHAnsi" w:cs="Arial"/>
              </w:rPr>
              <w:t>INEC: Directorio de Empresas, Encuestas Económicas</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lastRenderedPageBreak/>
              <w:t>PERIODICIDAD DEL INDICADOR</w:t>
            </w:r>
          </w:p>
        </w:tc>
        <w:tc>
          <w:tcPr>
            <w:tcW w:w="3559" w:type="dxa"/>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Anual</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DISPONIBILIDAD DE LOS DATOS</w:t>
            </w:r>
          </w:p>
        </w:tc>
        <w:tc>
          <w:tcPr>
            <w:tcW w:w="3559" w:type="dxa"/>
            <w:vAlign w:val="center"/>
          </w:tcPr>
          <w:p w:rsidR="004C708F" w:rsidRPr="00A815F6" w:rsidRDefault="004C708F" w:rsidP="00A815F6">
            <w:pPr>
              <w:spacing w:before="120" w:after="120"/>
              <w:jc w:val="both"/>
              <w:rPr>
                <w:rFonts w:asciiTheme="minorHAnsi" w:hAnsiTheme="minorHAnsi" w:cs="Arial"/>
                <w:szCs w:val="22"/>
              </w:rPr>
            </w:pPr>
            <w:r w:rsidRPr="00A815F6">
              <w:rPr>
                <w:rFonts w:asciiTheme="minorHAnsi" w:hAnsiTheme="minorHAnsi" w:cs="Arial"/>
                <w:szCs w:val="22"/>
              </w:rPr>
              <w:t>Existe un riesgo al no disponer de un convenio con las Instituciones que entregan la información</w:t>
            </w:r>
          </w:p>
        </w:tc>
      </w:tr>
      <w:tr w:rsidR="004C708F" w:rsidRPr="00080CCB" w:rsidTr="00A815F6">
        <w:trPr>
          <w:jc w:val="center"/>
        </w:trPr>
        <w:tc>
          <w:tcPr>
            <w:tcW w:w="3652" w:type="dxa"/>
            <w:vMerge w:val="restart"/>
            <w:shd w:val="clear" w:color="auto" w:fill="DBE5F1"/>
            <w:vAlign w:val="center"/>
          </w:tcPr>
          <w:p w:rsidR="004C708F" w:rsidRPr="00080CCB" w:rsidRDefault="004C708F" w:rsidP="009036BF">
            <w:pPr>
              <w:spacing w:before="60" w:after="60"/>
              <w:jc w:val="both"/>
              <w:rPr>
                <w:rFonts w:asciiTheme="minorHAnsi" w:hAnsiTheme="minorHAnsi" w:cs="Arial"/>
                <w:b/>
                <w:bCs/>
                <w:szCs w:val="22"/>
              </w:rPr>
            </w:pPr>
            <w:r w:rsidRPr="00080CCB">
              <w:rPr>
                <w:rFonts w:asciiTheme="minorHAnsi" w:hAnsiTheme="minorHAnsi" w:cs="Arial"/>
                <w:b/>
                <w:bCs/>
                <w:szCs w:val="22"/>
              </w:rPr>
              <w:t>NIVEL DE</w:t>
            </w:r>
          </w:p>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DESAGREGACIÓN</w:t>
            </w: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GEOGRÁFICO</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Nacional</w:t>
            </w:r>
          </w:p>
        </w:tc>
      </w:tr>
      <w:tr w:rsidR="004C708F" w:rsidRPr="00080CCB" w:rsidTr="00A815F6">
        <w:trPr>
          <w:jc w:val="center"/>
        </w:trPr>
        <w:tc>
          <w:tcPr>
            <w:tcW w:w="3652" w:type="dxa"/>
            <w:vMerge/>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GENERAL</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Sectores institucionales</w:t>
            </w:r>
          </w:p>
        </w:tc>
      </w:tr>
      <w:tr w:rsidR="004C708F" w:rsidRPr="00080CCB" w:rsidTr="00A815F6">
        <w:trPr>
          <w:jc w:val="center"/>
        </w:trPr>
        <w:tc>
          <w:tcPr>
            <w:tcW w:w="3652" w:type="dxa"/>
            <w:vMerge/>
            <w:shd w:val="clear" w:color="auto" w:fill="DBE5F1"/>
            <w:vAlign w:val="center"/>
          </w:tcPr>
          <w:p w:rsidR="004C708F" w:rsidRPr="00080CCB" w:rsidRDefault="004C708F" w:rsidP="009036BF">
            <w:pPr>
              <w:spacing w:before="60" w:after="60"/>
              <w:jc w:val="both"/>
              <w:rPr>
                <w:rFonts w:asciiTheme="minorHAnsi" w:hAnsiTheme="minorHAnsi" w:cs="Arial"/>
                <w:b/>
                <w:bCs/>
                <w:szCs w:val="22"/>
              </w:rPr>
            </w:pP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OTROS ÁMBITOS</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Unidades institucionales</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INFORMACIÓN GEO–REFERENCIADA</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No aplica</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RELACIÓN CON INSTRUMENTOS DE PLANIFICACIÓN NACIONAL E INTERNACIONAL</w:t>
            </w:r>
          </w:p>
        </w:tc>
        <w:tc>
          <w:tcPr>
            <w:tcW w:w="3559" w:type="dxa"/>
            <w:shd w:val="clear" w:color="auto" w:fill="auto"/>
            <w:vAlign w:val="center"/>
          </w:tcPr>
          <w:p w:rsidR="00484290" w:rsidRPr="00484290" w:rsidRDefault="00484290" w:rsidP="00484290">
            <w:pPr>
              <w:spacing w:before="120" w:after="120"/>
              <w:jc w:val="both"/>
              <w:rPr>
                <w:rFonts w:asciiTheme="minorHAnsi" w:hAnsiTheme="minorHAnsi" w:cs="Arial"/>
                <w:szCs w:val="22"/>
                <w:lang w:val="es-EC"/>
              </w:rPr>
            </w:pPr>
            <w:r w:rsidRPr="00484290">
              <w:rPr>
                <w:rFonts w:asciiTheme="minorHAnsi" w:hAnsiTheme="minorHAnsi" w:cs="Arial"/>
                <w:szCs w:val="22"/>
                <w:lang w:val="es-EC"/>
              </w:rPr>
              <w:t xml:space="preserve">Es una herramienta estadística  importante para la formulación, implementación y evaluación de las políticas del gobierno, contribuye al cumplimiento de los objetivos del Plan Nacional del Buen Vivir 2013-2017. </w:t>
            </w:r>
          </w:p>
          <w:p w:rsidR="00484290" w:rsidRPr="00484290" w:rsidRDefault="00484290" w:rsidP="00484290">
            <w:pPr>
              <w:spacing w:before="120" w:after="120"/>
              <w:jc w:val="both"/>
              <w:rPr>
                <w:rFonts w:asciiTheme="minorHAnsi" w:hAnsiTheme="minorHAnsi" w:cs="Arial"/>
                <w:szCs w:val="22"/>
                <w:lang w:val="es-EC"/>
              </w:rPr>
            </w:pPr>
            <w:r w:rsidRPr="00484290">
              <w:rPr>
                <w:rFonts w:asciiTheme="minorHAnsi" w:hAnsiTheme="minorHAnsi" w:cs="Arial"/>
                <w:szCs w:val="22"/>
                <w:lang w:val="es-EC"/>
              </w:rPr>
              <w:t>El Objetivo 1 “Consolidar el Estado democrático y la construcción del poder popular” alineado a las Políticas y lineamientos estratégicos siguientes:</w:t>
            </w:r>
          </w:p>
          <w:p w:rsidR="004C708F" w:rsidRPr="00A815F6" w:rsidRDefault="00484290" w:rsidP="00484290">
            <w:pPr>
              <w:spacing w:before="120" w:after="120"/>
              <w:jc w:val="both"/>
              <w:rPr>
                <w:rFonts w:asciiTheme="minorHAnsi" w:hAnsiTheme="minorHAnsi" w:cs="Arial"/>
                <w:szCs w:val="22"/>
                <w:lang w:val="es-EC"/>
              </w:rPr>
            </w:pPr>
            <w:r w:rsidRPr="00484290">
              <w:rPr>
                <w:rFonts w:asciiTheme="minorHAnsi" w:hAnsiTheme="minorHAnsi" w:cs="Arial"/>
                <w:szCs w:val="22"/>
                <w:lang w:val="es-EC"/>
              </w:rPr>
              <w:t>Objetivo 2: “Auspiciar la igualdad, la cohesión, la inclusión y la equidad social y territorial, en la diversidad”.</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 xml:space="preserve">REFERENCIAS BIBLIOGRÁFICAS DE LA CONSTRUCCIÓN </w:t>
            </w:r>
            <w:r w:rsidRPr="00080CCB">
              <w:rPr>
                <w:rFonts w:asciiTheme="minorHAnsi" w:eastAsiaTheme="minorHAnsi" w:hAnsiTheme="minorHAnsi" w:cs="Arial"/>
                <w:b/>
                <w:color w:val="000000"/>
                <w:szCs w:val="22"/>
                <w:lang w:val="es-EC"/>
              </w:rPr>
              <w:lastRenderedPageBreak/>
              <w:t>DEL INDICADOR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eastAsiaTheme="minorHAnsi" w:hAnsiTheme="minorHAnsi"/>
                <w:szCs w:val="22"/>
                <w:lang w:val="es-EC"/>
              </w:rPr>
              <w:lastRenderedPageBreak/>
              <w:t xml:space="preserve">Naciones Unidas. Sistema de Cuentas </w:t>
            </w:r>
            <w:r w:rsidRPr="004909B4">
              <w:rPr>
                <w:rFonts w:asciiTheme="minorHAnsi" w:eastAsiaTheme="minorHAnsi" w:hAnsiTheme="minorHAnsi"/>
                <w:szCs w:val="22"/>
                <w:lang w:val="es-EC"/>
              </w:rPr>
              <w:lastRenderedPageBreak/>
              <w:t>Nacionales 2008 (SCN 2008).</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lastRenderedPageBreak/>
              <w:t>FECHA DE ELABORACIÓN DE LA FICHA METODOLÓGICA</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LA ÚLTIMA ACTUALIZACIÓN DE LA FICHA METODOLÓGICA</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CLASIFICADOR TEMÁTICO ESTADÍSTICO</w:t>
            </w:r>
          </w:p>
        </w:tc>
        <w:tc>
          <w:tcPr>
            <w:tcW w:w="3559" w:type="dxa"/>
            <w:shd w:val="clear" w:color="auto" w:fill="auto"/>
            <w:vAlign w:val="center"/>
          </w:tcPr>
          <w:p w:rsidR="004C708F" w:rsidRPr="004909B4" w:rsidRDefault="004C708F" w:rsidP="004909B4">
            <w:pPr>
              <w:spacing w:before="120"/>
              <w:rPr>
                <w:rFonts w:asciiTheme="minorHAnsi" w:hAnsiTheme="minorHAnsi" w:cs="Arial"/>
                <w:szCs w:val="22"/>
              </w:rPr>
            </w:pPr>
            <w:r w:rsidRPr="004909B4">
              <w:rPr>
                <w:rFonts w:asciiTheme="minorHAnsi" w:hAnsiTheme="minorHAnsi" w:cs="Arial"/>
                <w:szCs w:val="22"/>
              </w:rPr>
              <w:t>Dominio 1: 1.4 Salud</w:t>
            </w:r>
          </w:p>
          <w:p w:rsidR="004C708F" w:rsidRPr="004909B4" w:rsidRDefault="004C708F" w:rsidP="004909B4">
            <w:pPr>
              <w:spacing w:after="120"/>
              <w:rPr>
                <w:rFonts w:asciiTheme="minorHAnsi" w:hAnsiTheme="minorHAnsi" w:cs="Arial"/>
                <w:szCs w:val="22"/>
              </w:rPr>
            </w:pPr>
            <w:r w:rsidRPr="004909B4">
              <w:rPr>
                <w:rFonts w:asciiTheme="minorHAnsi" w:hAnsiTheme="minorHAnsi" w:cs="Arial"/>
                <w:szCs w:val="22"/>
              </w:rPr>
              <w:t>Dominio 2: 2.2 Cuentas económicas</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ELABORADO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Miembros de Equipo ASIN</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REVISADO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María Soledad Carvajal Ruiz</w:t>
            </w:r>
          </w:p>
        </w:tc>
      </w:tr>
      <w:tr w:rsidR="004C708F" w:rsidRPr="00080CCB" w:rsidTr="00A815F6">
        <w:trPr>
          <w:jc w:val="center"/>
        </w:trPr>
        <w:tc>
          <w:tcPr>
            <w:tcW w:w="5495" w:type="dxa"/>
            <w:gridSpan w:val="3"/>
            <w:shd w:val="clear" w:color="auto" w:fill="DBE5F1"/>
            <w:vAlign w:val="center"/>
          </w:tcPr>
          <w:p w:rsidR="004C708F" w:rsidRDefault="004C708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APROBADO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Jaime  Gerardo Salcedo Bastidas</w:t>
            </w:r>
          </w:p>
        </w:tc>
      </w:tr>
    </w:tbl>
    <w:p w:rsidR="007D52DD" w:rsidRPr="00080CCB" w:rsidRDefault="007D52DD" w:rsidP="009036BF">
      <w:pPr>
        <w:jc w:val="both"/>
        <w:rPr>
          <w:rFonts w:asciiTheme="minorHAnsi" w:hAnsiTheme="minorHAnsi"/>
          <w:sz w:val="22"/>
          <w:szCs w:val="22"/>
        </w:rPr>
      </w:pPr>
    </w:p>
    <w:tbl>
      <w:tblPr>
        <w:tblStyle w:val="Tablaconcuadrcula"/>
        <w:tblW w:w="0" w:type="auto"/>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4470"/>
        <w:gridCol w:w="4508"/>
      </w:tblGrid>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ANEXOS</w:t>
            </w:r>
          </w:p>
        </w:tc>
      </w:tr>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 1:</w:t>
            </w:r>
          </w:p>
        </w:tc>
      </w:tr>
      <w:tr w:rsidR="007D52DD" w:rsidRPr="00080CCB" w:rsidTr="001E61E6">
        <w:tc>
          <w:tcPr>
            <w:tcW w:w="8978" w:type="dxa"/>
            <w:gridSpan w:val="2"/>
            <w:shd w:val="clear" w:color="auto" w:fill="DBE5F1"/>
            <w:vAlign w:val="center"/>
          </w:tcPr>
          <w:p w:rsidR="007D52DD" w:rsidRPr="00080CCB" w:rsidRDefault="007D52DD" w:rsidP="004909B4">
            <w:pPr>
              <w:spacing w:before="120" w:after="120"/>
              <w:jc w:val="center"/>
              <w:rPr>
                <w:rFonts w:asciiTheme="minorHAnsi" w:hAnsiTheme="minorHAnsi" w:cs="Arial"/>
                <w:szCs w:val="22"/>
              </w:rPr>
            </w:pPr>
            <w:r w:rsidRPr="00080CCB">
              <w:rPr>
                <w:rFonts w:asciiTheme="minorHAnsi" w:hAnsiTheme="minorHAnsi" w:cs="Arial"/>
                <w:b/>
                <w:bCs/>
                <w:szCs w:val="22"/>
              </w:rPr>
              <w:t>SINTAXIS</w:t>
            </w:r>
          </w:p>
        </w:tc>
      </w:tr>
      <w:tr w:rsidR="007D52DD" w:rsidRPr="00080CCB" w:rsidTr="001E61E6">
        <w:tc>
          <w:tcPr>
            <w:tcW w:w="8978" w:type="dxa"/>
            <w:gridSpan w:val="2"/>
            <w:vAlign w:val="center"/>
          </w:tcPr>
          <w:p w:rsidR="007D52DD" w:rsidRPr="00080CCB" w:rsidRDefault="007D52DD" w:rsidP="009036BF">
            <w:pPr>
              <w:jc w:val="both"/>
              <w:rPr>
                <w:rFonts w:asciiTheme="minorHAnsi" w:hAnsiTheme="minorHAnsi" w:cs="Arial"/>
                <w:szCs w:val="22"/>
              </w:rPr>
            </w:pPr>
          </w:p>
          <w:p w:rsidR="007D52DD" w:rsidRPr="00080CCB" w:rsidRDefault="007D52DD" w:rsidP="009036BF">
            <w:pPr>
              <w:jc w:val="both"/>
              <w:rPr>
                <w:rFonts w:asciiTheme="minorHAnsi" w:hAnsiTheme="minorHAnsi" w:cs="Arial"/>
                <w:szCs w:val="22"/>
              </w:rPr>
            </w:pPr>
          </w:p>
        </w:tc>
      </w:tr>
      <w:tr w:rsidR="007D52DD" w:rsidRPr="00080CCB" w:rsidTr="001E61E6">
        <w:tc>
          <w:tcPr>
            <w:tcW w:w="4470" w:type="dxa"/>
            <w:shd w:val="clear" w:color="auto" w:fill="DBE5F1"/>
            <w:vAlign w:val="center"/>
          </w:tcPr>
          <w:p w:rsidR="007D52DD" w:rsidRPr="00080CCB" w:rsidRDefault="007D52DD" w:rsidP="009036BF">
            <w:pPr>
              <w:pStyle w:val="Default"/>
              <w:spacing w:before="60"/>
              <w:jc w:val="both"/>
              <w:rPr>
                <w:rFonts w:asciiTheme="minorHAnsi" w:hAnsiTheme="minorHAnsi"/>
                <w:sz w:val="22"/>
                <w:szCs w:val="22"/>
              </w:rPr>
            </w:pPr>
            <w:r w:rsidRPr="00080CCB">
              <w:rPr>
                <w:rFonts w:asciiTheme="minorHAnsi" w:hAnsiTheme="minorHAnsi"/>
                <w:b/>
                <w:bCs/>
                <w:sz w:val="22"/>
                <w:szCs w:val="22"/>
              </w:rPr>
              <w:t>AÑO DE REFERENCIA DE LA SINTAXIS</w:t>
            </w:r>
          </w:p>
        </w:tc>
        <w:tc>
          <w:tcPr>
            <w:tcW w:w="4508" w:type="dxa"/>
            <w:vAlign w:val="center"/>
          </w:tcPr>
          <w:p w:rsidR="007D52DD" w:rsidRPr="00080CCB" w:rsidRDefault="007D52DD" w:rsidP="009036BF">
            <w:pPr>
              <w:jc w:val="both"/>
              <w:rPr>
                <w:rFonts w:asciiTheme="minorHAnsi" w:hAnsiTheme="minorHAnsi" w:cs="Arial"/>
                <w:szCs w:val="22"/>
              </w:rPr>
            </w:pPr>
          </w:p>
        </w:tc>
      </w:tr>
    </w:tbl>
    <w:p w:rsidR="007D52DD" w:rsidRPr="00080CCB" w:rsidRDefault="007D52DD" w:rsidP="004909B4">
      <w:pPr>
        <w:jc w:val="both"/>
        <w:rPr>
          <w:rFonts w:asciiTheme="minorHAnsi" w:hAnsiTheme="minorHAnsi"/>
          <w:sz w:val="22"/>
          <w:szCs w:val="22"/>
        </w:rPr>
      </w:pPr>
      <w:bookmarkStart w:id="0" w:name="_GoBack"/>
      <w:bookmarkEnd w:id="0"/>
    </w:p>
    <w:sectPr w:rsidR="007D52DD" w:rsidRPr="00080CCB" w:rsidSect="00662EE0">
      <w:headerReference w:type="default" r:id="rId9"/>
      <w:pgSz w:w="12240" w:h="15840"/>
      <w:pgMar w:top="1417" w:right="1701" w:bottom="1417" w:left="1701" w:header="708"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62E" w:rsidRDefault="00D0362E" w:rsidP="007C0272">
      <w:r>
        <w:separator/>
      </w:r>
    </w:p>
  </w:endnote>
  <w:endnote w:type="continuationSeparator" w:id="0">
    <w:p w:rsidR="00D0362E" w:rsidRDefault="00D0362E" w:rsidP="007C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62E" w:rsidRDefault="00D0362E" w:rsidP="007C0272">
      <w:r>
        <w:separator/>
      </w:r>
    </w:p>
  </w:footnote>
  <w:footnote w:type="continuationSeparator" w:id="0">
    <w:p w:rsidR="00D0362E" w:rsidRDefault="00D0362E" w:rsidP="007C0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50"/>
      <w:gridCol w:w="896"/>
      <w:gridCol w:w="3969"/>
      <w:gridCol w:w="1824"/>
    </w:tblGrid>
    <w:tr w:rsidR="00E43228" w:rsidRPr="004B60A7" w:rsidTr="006F2BB3">
      <w:trPr>
        <w:trHeight w:val="268"/>
      </w:trPr>
      <w:tc>
        <w:tcPr>
          <w:tcW w:w="2350" w:type="dxa"/>
          <w:vMerge w:val="restart"/>
          <w:shd w:val="clear" w:color="auto" w:fill="auto"/>
        </w:tcPr>
        <w:p w:rsidR="00E43228" w:rsidRPr="004B60A7" w:rsidRDefault="00E43228" w:rsidP="006A39CE">
          <w:pPr>
            <w:jc w:val="center"/>
            <w:rPr>
              <w:b/>
              <w:u w:val="single"/>
            </w:rPr>
          </w:pPr>
          <w:r>
            <w:rPr>
              <w:noProof/>
              <w:lang w:val="es-EC" w:eastAsia="es-EC"/>
            </w:rPr>
            <w:drawing>
              <wp:anchor distT="0" distB="0" distL="114300" distR="114300" simplePos="0" relativeHeight="251657216" behindDoc="0" locked="0" layoutInCell="1" allowOverlap="1" wp14:anchorId="75DF35AF" wp14:editId="0F1B60B4">
                <wp:simplePos x="0" y="0"/>
                <wp:positionH relativeFrom="column">
                  <wp:posOffset>29049</wp:posOffset>
                </wp:positionH>
                <wp:positionV relativeFrom="paragraph">
                  <wp:posOffset>457200</wp:posOffset>
                </wp:positionV>
                <wp:extent cx="1304925" cy="3810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t="16882" b="14285"/>
                        <a:stretch>
                          <a:fillRect/>
                        </a:stretch>
                      </pic:blipFill>
                      <pic:spPr bwMode="auto">
                        <a:xfrm>
                          <a:off x="0" y="0"/>
                          <a:ext cx="1304925" cy="381000"/>
                        </a:xfrm>
                        <a:prstGeom prst="rect">
                          <a:avLst/>
                        </a:prstGeom>
                        <a:noFill/>
                        <a:ln>
                          <a:noFill/>
                        </a:ln>
                      </pic:spPr>
                    </pic:pic>
                  </a:graphicData>
                </a:graphic>
              </wp:anchor>
            </w:drawing>
          </w:r>
        </w:p>
      </w:tc>
      <w:tc>
        <w:tcPr>
          <w:tcW w:w="896" w:type="dxa"/>
          <w:vMerge w:val="restart"/>
          <w:shd w:val="clear" w:color="auto" w:fill="auto"/>
          <w:vAlign w:val="center"/>
        </w:tcPr>
        <w:p w:rsidR="00E43228" w:rsidRPr="009329F8" w:rsidRDefault="00E43228" w:rsidP="006A39CE">
          <w:pPr>
            <w:jc w:val="center"/>
            <w:rPr>
              <w:rFonts w:ascii="Century Gothic" w:hAnsi="Century Gothic"/>
              <w:b/>
              <w:sz w:val="16"/>
            </w:rPr>
          </w:pPr>
          <w:r w:rsidRPr="009329F8">
            <w:rPr>
              <w:rFonts w:ascii="Century Gothic" w:hAnsi="Century Gothic"/>
              <w:b/>
              <w:sz w:val="16"/>
            </w:rPr>
            <w:t>FICHA METODOLÓGICA</w:t>
          </w:r>
        </w:p>
      </w:tc>
      <w:tc>
        <w:tcPr>
          <w:tcW w:w="3969" w:type="dxa"/>
          <w:vAlign w:val="center"/>
        </w:tcPr>
        <w:p w:rsidR="00E43228" w:rsidRPr="009329F8" w:rsidRDefault="002521D1" w:rsidP="002521D1">
          <w:pPr>
            <w:tabs>
              <w:tab w:val="right" w:pos="2253"/>
            </w:tabs>
            <w:rPr>
              <w:rFonts w:ascii="Century Gothic" w:hAnsi="Century Gothic"/>
              <w:b/>
              <w:sz w:val="16"/>
            </w:rPr>
          </w:pPr>
          <w:r w:rsidRPr="009329F8">
            <w:rPr>
              <w:rFonts w:ascii="Century Gothic" w:hAnsi="Century Gothic"/>
              <w:b/>
              <w:sz w:val="16"/>
            </w:rPr>
            <w:t xml:space="preserve">Nombre: </w:t>
          </w:r>
          <w:r w:rsidR="00E43228" w:rsidRPr="009329F8">
            <w:rPr>
              <w:rFonts w:ascii="Century Gothic" w:hAnsi="Century Gothic"/>
              <w:b/>
              <w:sz w:val="16"/>
            </w:rPr>
            <w:t>Cuenta</w:t>
          </w:r>
          <w:r w:rsidR="00BB4E34">
            <w:rPr>
              <w:rFonts w:ascii="Century Gothic" w:hAnsi="Century Gothic"/>
              <w:b/>
              <w:sz w:val="16"/>
            </w:rPr>
            <w:t>s</w:t>
          </w:r>
          <w:r w:rsidR="00E43228" w:rsidRPr="009329F8">
            <w:rPr>
              <w:rFonts w:ascii="Century Gothic" w:hAnsi="Century Gothic"/>
              <w:b/>
              <w:sz w:val="16"/>
            </w:rPr>
            <w:t xml:space="preserve"> Satélite</w:t>
          </w:r>
          <w:r w:rsidRPr="009329F8">
            <w:rPr>
              <w:rFonts w:ascii="Century Gothic" w:hAnsi="Century Gothic"/>
              <w:b/>
              <w:sz w:val="16"/>
            </w:rPr>
            <w:t xml:space="preserve"> </w:t>
          </w:r>
          <w:r w:rsidR="00E43228" w:rsidRPr="009329F8">
            <w:rPr>
              <w:rFonts w:ascii="Century Gothic" w:hAnsi="Century Gothic"/>
              <w:b/>
              <w:sz w:val="16"/>
            </w:rPr>
            <w:t>de Salud</w:t>
          </w:r>
          <w:r w:rsidR="00D53653">
            <w:rPr>
              <w:rFonts w:ascii="Century Gothic" w:hAnsi="Century Gothic"/>
              <w:b/>
              <w:sz w:val="16"/>
            </w:rPr>
            <w:t xml:space="preserve"> (CSS)</w:t>
          </w:r>
        </w:p>
      </w:tc>
      <w:tc>
        <w:tcPr>
          <w:tcW w:w="1824" w:type="dxa"/>
          <w:shd w:val="clear" w:color="auto" w:fill="auto"/>
          <w:vAlign w:val="center"/>
        </w:tcPr>
        <w:p w:rsidR="00E43228" w:rsidRPr="00F75E05" w:rsidRDefault="00D2342C" w:rsidP="00A315F7">
          <w:pPr>
            <w:tabs>
              <w:tab w:val="right" w:pos="2253"/>
            </w:tabs>
            <w:jc w:val="center"/>
            <w:rPr>
              <w:rFonts w:ascii="Century Gothic" w:hAnsi="Century Gothic"/>
              <w:sz w:val="16"/>
              <w:highlight w:val="yellow"/>
            </w:rPr>
          </w:pPr>
          <w:r w:rsidRPr="00307B2E">
            <w:rPr>
              <w:rFonts w:ascii="Century Gothic" w:hAnsi="Century Gothic"/>
              <w:b/>
              <w:sz w:val="16"/>
            </w:rPr>
            <w:t>Versión</w:t>
          </w:r>
          <w:r w:rsidR="00307B2E" w:rsidRPr="00307B2E">
            <w:rPr>
              <w:rFonts w:ascii="Century Gothic" w:hAnsi="Century Gothic"/>
              <w:b/>
              <w:sz w:val="16"/>
            </w:rPr>
            <w:t xml:space="preserve"> 1</w:t>
          </w:r>
        </w:p>
      </w:tc>
    </w:tr>
    <w:tr w:rsidR="00BF58D7" w:rsidRPr="004B60A7" w:rsidTr="006F2BB3">
      <w:trPr>
        <w:trHeight w:val="272"/>
      </w:trPr>
      <w:tc>
        <w:tcPr>
          <w:tcW w:w="2350" w:type="dxa"/>
          <w:vMerge/>
          <w:shd w:val="clear" w:color="auto" w:fill="auto"/>
        </w:tcPr>
        <w:p w:rsidR="00BF58D7" w:rsidRPr="00F9306E" w:rsidRDefault="00BF58D7" w:rsidP="00BF58D7">
          <w:pPr>
            <w:jc w:val="center"/>
            <w:rPr>
              <w:noProof/>
              <w:lang w:eastAsia="es-EC"/>
            </w:rPr>
          </w:pPr>
        </w:p>
      </w:tc>
      <w:tc>
        <w:tcPr>
          <w:tcW w:w="896" w:type="dxa"/>
          <w:vMerge/>
          <w:shd w:val="clear" w:color="auto" w:fill="auto"/>
        </w:tcPr>
        <w:p w:rsidR="00BF58D7" w:rsidRPr="009329F8" w:rsidRDefault="00BF58D7" w:rsidP="00BF58D7">
          <w:pPr>
            <w:jc w:val="center"/>
            <w:rPr>
              <w:rFonts w:ascii="Century Gothic" w:hAnsi="Century Gothic"/>
              <w:b/>
              <w:sz w:val="16"/>
              <w:u w:val="single"/>
            </w:rPr>
          </w:pPr>
        </w:p>
      </w:tc>
      <w:tc>
        <w:tcPr>
          <w:tcW w:w="3969" w:type="dxa"/>
          <w:vAlign w:val="center"/>
        </w:tcPr>
        <w:p w:rsidR="00BF58D7" w:rsidRDefault="00BF58D7" w:rsidP="00BB4E34">
          <w:pPr>
            <w:tabs>
              <w:tab w:val="right" w:pos="2253"/>
            </w:tabs>
            <w:spacing w:before="120"/>
            <w:rPr>
              <w:rFonts w:ascii="Century Gothic" w:hAnsi="Century Gothic"/>
              <w:sz w:val="16"/>
            </w:rPr>
          </w:pPr>
          <w:r w:rsidRPr="009329F8">
            <w:rPr>
              <w:rFonts w:ascii="Century Gothic" w:hAnsi="Century Gothic"/>
              <w:b/>
              <w:sz w:val="16"/>
            </w:rPr>
            <w:t>SECTOR INSTITUCIONAL:</w:t>
          </w:r>
          <w:r w:rsidRPr="009329F8">
            <w:rPr>
              <w:rFonts w:ascii="Century Gothic" w:hAnsi="Century Gothic"/>
              <w:sz w:val="16"/>
            </w:rPr>
            <w:t xml:space="preserve"> </w:t>
          </w:r>
          <w:r>
            <w:rPr>
              <w:rFonts w:ascii="Century Gothic" w:hAnsi="Century Gothic"/>
              <w:sz w:val="16"/>
            </w:rPr>
            <w:t>S15 Instituciones sin fines de lucro que sirven a los hogares</w:t>
          </w:r>
        </w:p>
        <w:p w:rsidR="00BF58D7" w:rsidRPr="009329F8" w:rsidRDefault="00BF58D7" w:rsidP="00BB4E34">
          <w:pPr>
            <w:tabs>
              <w:tab w:val="right" w:pos="2253"/>
            </w:tabs>
            <w:rPr>
              <w:rFonts w:ascii="Century Gothic" w:hAnsi="Century Gothic"/>
              <w:b/>
              <w:sz w:val="16"/>
            </w:rPr>
          </w:pPr>
          <w:r w:rsidRPr="009329F8">
            <w:rPr>
              <w:rFonts w:ascii="Century Gothic" w:hAnsi="Century Gothic"/>
              <w:b/>
              <w:sz w:val="16"/>
            </w:rPr>
            <w:t>Nivel 2:</w:t>
          </w:r>
        </w:p>
        <w:p w:rsidR="00BF58D7" w:rsidRPr="009329F8" w:rsidRDefault="00BF58D7" w:rsidP="00BF58D7">
          <w:pPr>
            <w:tabs>
              <w:tab w:val="right" w:pos="2253"/>
            </w:tabs>
            <w:rPr>
              <w:rFonts w:ascii="Century Gothic" w:hAnsi="Century Gothic"/>
              <w:b/>
              <w:sz w:val="16"/>
            </w:rPr>
          </w:pPr>
          <w:r w:rsidRPr="009329F8">
            <w:rPr>
              <w:rFonts w:ascii="Century Gothic" w:hAnsi="Century Gothic"/>
              <w:b/>
              <w:sz w:val="16"/>
            </w:rPr>
            <w:t>Nivel 3.</w:t>
          </w:r>
        </w:p>
        <w:p w:rsidR="00BF58D7" w:rsidRPr="00267373" w:rsidRDefault="00BF58D7" w:rsidP="00BF58D7">
          <w:pPr>
            <w:tabs>
              <w:tab w:val="right" w:pos="2253"/>
            </w:tabs>
            <w:rPr>
              <w:rFonts w:ascii="Century Gothic" w:hAnsi="Century Gothic"/>
              <w:sz w:val="16"/>
            </w:rPr>
          </w:pPr>
          <w:r w:rsidRPr="009329F8">
            <w:rPr>
              <w:rFonts w:ascii="Century Gothic" w:hAnsi="Century Gothic"/>
              <w:b/>
              <w:sz w:val="16"/>
            </w:rPr>
            <w:t>Nivel 4</w:t>
          </w:r>
          <w:r>
            <w:rPr>
              <w:rFonts w:ascii="Century Gothic" w:hAnsi="Century Gothic"/>
              <w:b/>
              <w:sz w:val="16"/>
            </w:rPr>
            <w:t>:</w:t>
          </w:r>
        </w:p>
        <w:p w:rsidR="00BF58D7" w:rsidRPr="009329F8" w:rsidRDefault="00BF58D7" w:rsidP="00F13702">
          <w:pPr>
            <w:tabs>
              <w:tab w:val="right" w:pos="2253"/>
            </w:tabs>
            <w:spacing w:after="120"/>
            <w:rPr>
              <w:rFonts w:ascii="Century Gothic" w:hAnsi="Century Gothic"/>
              <w:sz w:val="16"/>
            </w:rPr>
          </w:pPr>
          <w:r w:rsidRPr="009329F8">
            <w:rPr>
              <w:rFonts w:ascii="Century Gothic" w:hAnsi="Century Gothic"/>
              <w:b/>
              <w:sz w:val="16"/>
            </w:rPr>
            <w:t>Nivel 5</w:t>
          </w:r>
          <w:r>
            <w:rPr>
              <w:rFonts w:ascii="Century Gothic" w:hAnsi="Century Gothic"/>
              <w:b/>
              <w:sz w:val="16"/>
            </w:rPr>
            <w:t>.</w:t>
          </w:r>
          <w:r w:rsidRPr="009329F8">
            <w:rPr>
              <w:rFonts w:ascii="Century Gothic" w:hAnsi="Century Gothic"/>
              <w:b/>
              <w:sz w:val="16"/>
            </w:rPr>
            <w:t xml:space="preserve"> </w:t>
          </w:r>
          <w:r w:rsidRPr="00D14BB2">
            <w:rPr>
              <w:rFonts w:ascii="Century Gothic" w:hAnsi="Century Gothic"/>
              <w:sz w:val="16"/>
            </w:rPr>
            <w:t>Dispensarios</w:t>
          </w:r>
        </w:p>
      </w:tc>
      <w:tc>
        <w:tcPr>
          <w:tcW w:w="1824" w:type="dxa"/>
          <w:shd w:val="clear" w:color="auto" w:fill="auto"/>
          <w:vAlign w:val="center"/>
        </w:tcPr>
        <w:p w:rsidR="00BF58D7" w:rsidRPr="00F75E05" w:rsidRDefault="00BF58D7" w:rsidP="00BF58D7">
          <w:pPr>
            <w:tabs>
              <w:tab w:val="right" w:pos="2253"/>
            </w:tabs>
            <w:rPr>
              <w:rFonts w:ascii="Century Gothic" w:hAnsi="Century Gothic"/>
              <w:sz w:val="16"/>
              <w:highlight w:val="yellow"/>
            </w:rPr>
          </w:pPr>
        </w:p>
      </w:tc>
    </w:tr>
    <w:tr w:rsidR="00307B2E" w:rsidRPr="004B60A7" w:rsidTr="006F2BB3">
      <w:trPr>
        <w:trHeight w:val="276"/>
      </w:trPr>
      <w:tc>
        <w:tcPr>
          <w:tcW w:w="2350" w:type="dxa"/>
          <w:vMerge/>
          <w:shd w:val="clear" w:color="auto" w:fill="auto"/>
        </w:tcPr>
        <w:p w:rsidR="00307B2E" w:rsidRPr="00F9306E" w:rsidRDefault="00307B2E" w:rsidP="006A39CE">
          <w:pPr>
            <w:jc w:val="center"/>
            <w:rPr>
              <w:noProof/>
              <w:lang w:eastAsia="es-EC"/>
            </w:rPr>
          </w:pPr>
        </w:p>
      </w:tc>
      <w:tc>
        <w:tcPr>
          <w:tcW w:w="896" w:type="dxa"/>
          <w:vMerge/>
          <w:shd w:val="clear" w:color="auto" w:fill="auto"/>
        </w:tcPr>
        <w:p w:rsidR="00307B2E" w:rsidRPr="009329F8" w:rsidRDefault="00307B2E" w:rsidP="006A39CE">
          <w:pPr>
            <w:jc w:val="center"/>
            <w:rPr>
              <w:rFonts w:ascii="Century Gothic" w:hAnsi="Century Gothic"/>
              <w:b/>
              <w:sz w:val="16"/>
              <w:u w:val="single"/>
            </w:rPr>
          </w:pPr>
        </w:p>
      </w:tc>
      <w:tc>
        <w:tcPr>
          <w:tcW w:w="3969" w:type="dxa"/>
          <w:vAlign w:val="center"/>
        </w:tcPr>
        <w:p w:rsidR="00307B2E" w:rsidRPr="009329F8" w:rsidRDefault="00307B2E" w:rsidP="009B5894">
          <w:pPr>
            <w:tabs>
              <w:tab w:val="right" w:pos="2253"/>
            </w:tabs>
            <w:rPr>
              <w:rFonts w:ascii="Century Gothic" w:hAnsi="Century Gothic"/>
              <w:sz w:val="16"/>
            </w:rPr>
          </w:pPr>
          <w:r w:rsidRPr="009329F8">
            <w:rPr>
              <w:rFonts w:ascii="Century Gothic" w:hAnsi="Century Gothic"/>
              <w:b/>
              <w:sz w:val="16"/>
            </w:rPr>
            <w:t>I. Cuentas Corrientes y de Capital</w:t>
          </w:r>
          <w:r w:rsidRPr="009329F8">
            <w:rPr>
              <w:rFonts w:ascii="Century Gothic" w:hAnsi="Century Gothic"/>
              <w:sz w:val="16"/>
            </w:rPr>
            <w:t xml:space="preserve"> </w:t>
          </w:r>
        </w:p>
      </w:tc>
      <w:tc>
        <w:tcPr>
          <w:tcW w:w="1824" w:type="dxa"/>
          <w:shd w:val="clear" w:color="auto" w:fill="auto"/>
          <w:vAlign w:val="center"/>
        </w:tcPr>
        <w:p w:rsidR="00307B2E" w:rsidRPr="00D74A47" w:rsidRDefault="00307B2E" w:rsidP="002B5759">
          <w:pPr>
            <w:tabs>
              <w:tab w:val="right" w:pos="2253"/>
            </w:tabs>
            <w:rPr>
              <w:rFonts w:ascii="Century Gothic" w:hAnsi="Century Gothic"/>
              <w:sz w:val="16"/>
            </w:rPr>
          </w:pPr>
          <w:r>
            <w:rPr>
              <w:rFonts w:ascii="Century Gothic" w:hAnsi="Century Gothic"/>
              <w:sz w:val="16"/>
            </w:rPr>
            <w:t xml:space="preserve">Páginas: </w:t>
          </w:r>
          <w:r w:rsidRPr="00662EE0">
            <w:rPr>
              <w:rFonts w:ascii="Century Gothic" w:hAnsi="Century Gothic"/>
              <w:sz w:val="16"/>
            </w:rPr>
            <w:fldChar w:fldCharType="begin"/>
          </w:r>
          <w:r w:rsidRPr="00662EE0">
            <w:rPr>
              <w:rFonts w:ascii="Century Gothic" w:hAnsi="Century Gothic"/>
              <w:sz w:val="16"/>
            </w:rPr>
            <w:instrText>PAGE   \* MERGEFORMAT</w:instrText>
          </w:r>
          <w:r w:rsidRPr="00662EE0">
            <w:rPr>
              <w:rFonts w:ascii="Century Gothic" w:hAnsi="Century Gothic"/>
              <w:sz w:val="16"/>
            </w:rPr>
            <w:fldChar w:fldCharType="separate"/>
          </w:r>
          <w:r w:rsidR="00A315F7">
            <w:rPr>
              <w:rFonts w:ascii="Century Gothic" w:hAnsi="Century Gothic"/>
              <w:noProof/>
              <w:sz w:val="16"/>
            </w:rPr>
            <w:t>11</w:t>
          </w:r>
          <w:r w:rsidRPr="00662EE0">
            <w:rPr>
              <w:rFonts w:ascii="Century Gothic" w:hAnsi="Century Gothic"/>
              <w:sz w:val="16"/>
            </w:rPr>
            <w:fldChar w:fldCharType="end"/>
          </w:r>
          <w:r w:rsidR="00484290">
            <w:rPr>
              <w:rFonts w:ascii="Century Gothic" w:hAnsi="Century Gothic"/>
              <w:sz w:val="16"/>
            </w:rPr>
            <w:t xml:space="preserve"> de 11</w:t>
          </w:r>
        </w:p>
      </w:tc>
    </w:tr>
  </w:tbl>
  <w:p w:rsidR="001E61E6" w:rsidRPr="007D52DD" w:rsidRDefault="001E61E6">
    <w:pPr>
      <w:pStyle w:val="Encabezado"/>
      <w:rPr>
        <w:lang w:val="es-EC"/>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24E02"/>
    <w:multiLevelType w:val="hybridMultilevel"/>
    <w:tmpl w:val="57EEA12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5324998"/>
    <w:multiLevelType w:val="hybridMultilevel"/>
    <w:tmpl w:val="44585A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7CB7B54"/>
    <w:multiLevelType w:val="hybridMultilevel"/>
    <w:tmpl w:val="4C944C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C5112AF"/>
    <w:multiLevelType w:val="hybridMultilevel"/>
    <w:tmpl w:val="14A415AE"/>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285D39BC"/>
    <w:multiLevelType w:val="hybridMultilevel"/>
    <w:tmpl w:val="4740EF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CE2222F"/>
    <w:multiLevelType w:val="hybridMultilevel"/>
    <w:tmpl w:val="CED0A9AE"/>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3A6042DE"/>
    <w:multiLevelType w:val="hybridMultilevel"/>
    <w:tmpl w:val="DFA42F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42921868"/>
    <w:multiLevelType w:val="hybridMultilevel"/>
    <w:tmpl w:val="25E8B61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47F7906"/>
    <w:multiLevelType w:val="hybridMultilevel"/>
    <w:tmpl w:val="514088EA"/>
    <w:lvl w:ilvl="0" w:tplc="CED08FBE">
      <w:start w:val="1"/>
      <w:numFmt w:val="bullet"/>
      <w:lvlText w:val=""/>
      <w:lvlJc w:val="left"/>
      <w:pPr>
        <w:tabs>
          <w:tab w:val="num" w:pos="1440"/>
        </w:tabs>
        <w:ind w:left="144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46F9125A"/>
    <w:multiLevelType w:val="hybridMultilevel"/>
    <w:tmpl w:val="9A9A981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4764025D"/>
    <w:multiLevelType w:val="hybridMultilevel"/>
    <w:tmpl w:val="A5A05D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476C2EF5"/>
    <w:multiLevelType w:val="hybridMultilevel"/>
    <w:tmpl w:val="686EBDF0"/>
    <w:lvl w:ilvl="0" w:tplc="AA506DC2">
      <w:start w:val="1"/>
      <w:numFmt w:val="decimal"/>
      <w:lvlText w:val="%1."/>
      <w:lvlJc w:val="left"/>
      <w:pPr>
        <w:ind w:left="720" w:hanging="360"/>
      </w:pPr>
      <w:rPr>
        <w:rFonts w:hint="default"/>
        <w:b/>
      </w:rPr>
    </w:lvl>
    <w:lvl w:ilvl="1" w:tplc="300A0019">
      <w:start w:val="1"/>
      <w:numFmt w:val="lowerLetter"/>
      <w:lvlText w:val="%2."/>
      <w:lvlJc w:val="left"/>
      <w:pPr>
        <w:ind w:left="1440" w:hanging="360"/>
      </w:pPr>
    </w:lvl>
    <w:lvl w:ilvl="2" w:tplc="6B90FDC2">
      <w:start w:val="1"/>
      <w:numFmt w:val="bullet"/>
      <w:lvlText w:val=""/>
      <w:lvlJc w:val="left"/>
      <w:pPr>
        <w:ind w:left="2160" w:hanging="180"/>
      </w:pPr>
      <w:rPr>
        <w:rFonts w:ascii="Symbol" w:hAnsi="Symbol" w:hint="default"/>
      </w:r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nsid w:val="49D47FC5"/>
    <w:multiLevelType w:val="hybridMultilevel"/>
    <w:tmpl w:val="1E562A4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54383059"/>
    <w:multiLevelType w:val="hybridMultilevel"/>
    <w:tmpl w:val="0EFAF458"/>
    <w:lvl w:ilvl="0" w:tplc="300A000B">
      <w:start w:val="1"/>
      <w:numFmt w:val="bullet"/>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14">
    <w:nsid w:val="5A6B12E8"/>
    <w:multiLevelType w:val="hybridMultilevel"/>
    <w:tmpl w:val="CB7856B4"/>
    <w:lvl w:ilvl="0" w:tplc="AA506DC2">
      <w:start w:val="1"/>
      <w:numFmt w:val="decimal"/>
      <w:lvlText w:val="%1."/>
      <w:lvlJc w:val="left"/>
      <w:pPr>
        <w:ind w:left="720" w:hanging="360"/>
      </w:pPr>
      <w:rPr>
        <w:rFonts w:hint="default"/>
        <w:b/>
      </w:rPr>
    </w:lvl>
    <w:lvl w:ilvl="1" w:tplc="444218B2">
      <w:start w:val="1"/>
      <w:numFmt w:val="lowerLetter"/>
      <w:lvlText w:val="%2."/>
      <w:lvlJc w:val="left"/>
      <w:pPr>
        <w:ind w:left="1440" w:hanging="360"/>
      </w:pPr>
      <w:rPr>
        <w:b/>
      </w:rPr>
    </w:lvl>
    <w:lvl w:ilvl="2" w:tplc="300A001B">
      <w:start w:val="1"/>
      <w:numFmt w:val="lowerRoman"/>
      <w:lvlText w:val="%3."/>
      <w:lvlJc w:val="right"/>
      <w:pPr>
        <w:ind w:left="2160" w:hanging="180"/>
      </w:pPr>
    </w:lvl>
    <w:lvl w:ilvl="3" w:tplc="8D989B90">
      <w:start w:val="1"/>
      <w:numFmt w:val="decimal"/>
      <w:lvlText w:val="%4"/>
      <w:lvlJc w:val="left"/>
      <w:pPr>
        <w:ind w:left="3120" w:hanging="600"/>
      </w:pPr>
      <w:rPr>
        <w:rFonts w:hint="default"/>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nsid w:val="6237285E"/>
    <w:multiLevelType w:val="hybridMultilevel"/>
    <w:tmpl w:val="7412779E"/>
    <w:lvl w:ilvl="0" w:tplc="64B257AA">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nsid w:val="6BDA6313"/>
    <w:multiLevelType w:val="hybridMultilevel"/>
    <w:tmpl w:val="2534B71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CB615C3"/>
    <w:multiLevelType w:val="hybridMultilevel"/>
    <w:tmpl w:val="3B68566A"/>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nsid w:val="7E8E66AF"/>
    <w:multiLevelType w:val="hybridMultilevel"/>
    <w:tmpl w:val="29A40688"/>
    <w:lvl w:ilvl="0" w:tplc="300A000B">
      <w:start w:val="1"/>
      <w:numFmt w:val="bullet"/>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num w:numId="1">
    <w:abstractNumId w:val="6"/>
  </w:num>
  <w:num w:numId="2">
    <w:abstractNumId w:val="10"/>
  </w:num>
  <w:num w:numId="3">
    <w:abstractNumId w:val="14"/>
  </w:num>
  <w:num w:numId="4">
    <w:abstractNumId w:val="11"/>
  </w:num>
  <w:num w:numId="5">
    <w:abstractNumId w:val="15"/>
  </w:num>
  <w:num w:numId="6">
    <w:abstractNumId w:val="16"/>
  </w:num>
  <w:num w:numId="7">
    <w:abstractNumId w:val="1"/>
  </w:num>
  <w:num w:numId="8">
    <w:abstractNumId w:val="4"/>
  </w:num>
  <w:num w:numId="9">
    <w:abstractNumId w:val="2"/>
  </w:num>
  <w:num w:numId="10">
    <w:abstractNumId w:val="5"/>
  </w:num>
  <w:num w:numId="11">
    <w:abstractNumId w:val="12"/>
  </w:num>
  <w:num w:numId="12">
    <w:abstractNumId w:val="17"/>
  </w:num>
  <w:num w:numId="13">
    <w:abstractNumId w:val="7"/>
  </w:num>
  <w:num w:numId="14">
    <w:abstractNumId w:val="3"/>
  </w:num>
  <w:num w:numId="15">
    <w:abstractNumId w:val="8"/>
  </w:num>
  <w:num w:numId="16">
    <w:abstractNumId w:val="9"/>
  </w:num>
  <w:num w:numId="17">
    <w:abstractNumId w:val="0"/>
  </w:num>
  <w:num w:numId="18">
    <w:abstractNumId w:val="1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11624F"/>
    <w:rsid w:val="000078AC"/>
    <w:rsid w:val="000125E5"/>
    <w:rsid w:val="00033A7C"/>
    <w:rsid w:val="0005695C"/>
    <w:rsid w:val="00060B02"/>
    <w:rsid w:val="000742D5"/>
    <w:rsid w:val="00080CCB"/>
    <w:rsid w:val="0008424A"/>
    <w:rsid w:val="00092BBF"/>
    <w:rsid w:val="000966EA"/>
    <w:rsid w:val="000A1DBE"/>
    <w:rsid w:val="000A5B0A"/>
    <w:rsid w:val="000B3A7F"/>
    <w:rsid w:val="000B50E0"/>
    <w:rsid w:val="000C01D1"/>
    <w:rsid w:val="000E52CE"/>
    <w:rsid w:val="000E5BF3"/>
    <w:rsid w:val="000E7348"/>
    <w:rsid w:val="000F7D81"/>
    <w:rsid w:val="00106810"/>
    <w:rsid w:val="001149C7"/>
    <w:rsid w:val="0011624F"/>
    <w:rsid w:val="00126B61"/>
    <w:rsid w:val="00143242"/>
    <w:rsid w:val="00147221"/>
    <w:rsid w:val="00175F15"/>
    <w:rsid w:val="0018477A"/>
    <w:rsid w:val="001A5BE5"/>
    <w:rsid w:val="001C1D16"/>
    <w:rsid w:val="001C2F4E"/>
    <w:rsid w:val="001D1B9D"/>
    <w:rsid w:val="001E61E6"/>
    <w:rsid w:val="001E7447"/>
    <w:rsid w:val="0021055D"/>
    <w:rsid w:val="00220C0B"/>
    <w:rsid w:val="00231304"/>
    <w:rsid w:val="00234BF0"/>
    <w:rsid w:val="002407A4"/>
    <w:rsid w:val="002520C1"/>
    <w:rsid w:val="002521D1"/>
    <w:rsid w:val="0025612F"/>
    <w:rsid w:val="00260679"/>
    <w:rsid w:val="00280C9F"/>
    <w:rsid w:val="00282270"/>
    <w:rsid w:val="0029094C"/>
    <w:rsid w:val="002A0BCB"/>
    <w:rsid w:val="002B5759"/>
    <w:rsid w:val="002C328A"/>
    <w:rsid w:val="002D01DF"/>
    <w:rsid w:val="003007DB"/>
    <w:rsid w:val="00304C1A"/>
    <w:rsid w:val="00307B2E"/>
    <w:rsid w:val="00307DBD"/>
    <w:rsid w:val="0031355D"/>
    <w:rsid w:val="003158AE"/>
    <w:rsid w:val="003172DD"/>
    <w:rsid w:val="0032294E"/>
    <w:rsid w:val="00326AF7"/>
    <w:rsid w:val="0033324C"/>
    <w:rsid w:val="00334F26"/>
    <w:rsid w:val="0034018B"/>
    <w:rsid w:val="00373356"/>
    <w:rsid w:val="003749C8"/>
    <w:rsid w:val="003759E7"/>
    <w:rsid w:val="00381919"/>
    <w:rsid w:val="00383E83"/>
    <w:rsid w:val="00390A3A"/>
    <w:rsid w:val="00397EF7"/>
    <w:rsid w:val="003A3092"/>
    <w:rsid w:val="003C2F4C"/>
    <w:rsid w:val="003D5B36"/>
    <w:rsid w:val="004045C8"/>
    <w:rsid w:val="00410A0A"/>
    <w:rsid w:val="00420C88"/>
    <w:rsid w:val="0043045D"/>
    <w:rsid w:val="0043464C"/>
    <w:rsid w:val="00435C50"/>
    <w:rsid w:val="00454593"/>
    <w:rsid w:val="00455041"/>
    <w:rsid w:val="00463DEB"/>
    <w:rsid w:val="004724C7"/>
    <w:rsid w:val="00474BB1"/>
    <w:rsid w:val="004759AF"/>
    <w:rsid w:val="00482714"/>
    <w:rsid w:val="00484290"/>
    <w:rsid w:val="004909B4"/>
    <w:rsid w:val="004910A1"/>
    <w:rsid w:val="004944A6"/>
    <w:rsid w:val="00496E62"/>
    <w:rsid w:val="004B0704"/>
    <w:rsid w:val="004C2B0C"/>
    <w:rsid w:val="004C57A3"/>
    <w:rsid w:val="004C708F"/>
    <w:rsid w:val="004D2642"/>
    <w:rsid w:val="004D2EAC"/>
    <w:rsid w:val="004D6539"/>
    <w:rsid w:val="004D6B36"/>
    <w:rsid w:val="004E034B"/>
    <w:rsid w:val="004E31D0"/>
    <w:rsid w:val="004E6558"/>
    <w:rsid w:val="004F163C"/>
    <w:rsid w:val="00503695"/>
    <w:rsid w:val="00506B4D"/>
    <w:rsid w:val="00512183"/>
    <w:rsid w:val="00517F5E"/>
    <w:rsid w:val="0052601B"/>
    <w:rsid w:val="00526CBA"/>
    <w:rsid w:val="00546ACE"/>
    <w:rsid w:val="00552DBA"/>
    <w:rsid w:val="0056330D"/>
    <w:rsid w:val="00566D13"/>
    <w:rsid w:val="005804C1"/>
    <w:rsid w:val="005855D1"/>
    <w:rsid w:val="0059078C"/>
    <w:rsid w:val="00594B3C"/>
    <w:rsid w:val="005A0489"/>
    <w:rsid w:val="005B1B02"/>
    <w:rsid w:val="005C3B2F"/>
    <w:rsid w:val="005C7E91"/>
    <w:rsid w:val="005D1462"/>
    <w:rsid w:val="005E3C40"/>
    <w:rsid w:val="005F236D"/>
    <w:rsid w:val="005F52C7"/>
    <w:rsid w:val="00613189"/>
    <w:rsid w:val="00617CF3"/>
    <w:rsid w:val="00627F54"/>
    <w:rsid w:val="006379DF"/>
    <w:rsid w:val="00640E99"/>
    <w:rsid w:val="0064134D"/>
    <w:rsid w:val="00662EE0"/>
    <w:rsid w:val="00675E9A"/>
    <w:rsid w:val="006A0385"/>
    <w:rsid w:val="006A39CE"/>
    <w:rsid w:val="006A7E9A"/>
    <w:rsid w:val="006C380F"/>
    <w:rsid w:val="006C6235"/>
    <w:rsid w:val="006E11AE"/>
    <w:rsid w:val="006E4721"/>
    <w:rsid w:val="006F2BB3"/>
    <w:rsid w:val="006F3C76"/>
    <w:rsid w:val="00710B5F"/>
    <w:rsid w:val="007132C2"/>
    <w:rsid w:val="007415AB"/>
    <w:rsid w:val="00746C3F"/>
    <w:rsid w:val="00747426"/>
    <w:rsid w:val="00757B9E"/>
    <w:rsid w:val="00765141"/>
    <w:rsid w:val="00792D00"/>
    <w:rsid w:val="007979B3"/>
    <w:rsid w:val="007A15C7"/>
    <w:rsid w:val="007C0272"/>
    <w:rsid w:val="007C109B"/>
    <w:rsid w:val="007D05E6"/>
    <w:rsid w:val="007D52DD"/>
    <w:rsid w:val="007E7852"/>
    <w:rsid w:val="008020C1"/>
    <w:rsid w:val="0080228D"/>
    <w:rsid w:val="00810A61"/>
    <w:rsid w:val="00811A80"/>
    <w:rsid w:val="008125A1"/>
    <w:rsid w:val="00815427"/>
    <w:rsid w:val="00845F7D"/>
    <w:rsid w:val="008511E9"/>
    <w:rsid w:val="00865EB3"/>
    <w:rsid w:val="008C48AE"/>
    <w:rsid w:val="008D4B7D"/>
    <w:rsid w:val="008D5409"/>
    <w:rsid w:val="008F3734"/>
    <w:rsid w:val="009036BF"/>
    <w:rsid w:val="00906FC9"/>
    <w:rsid w:val="009329F8"/>
    <w:rsid w:val="00935CAD"/>
    <w:rsid w:val="009523A7"/>
    <w:rsid w:val="00965ED3"/>
    <w:rsid w:val="0096637E"/>
    <w:rsid w:val="009700F1"/>
    <w:rsid w:val="00977559"/>
    <w:rsid w:val="009822CB"/>
    <w:rsid w:val="00983BC7"/>
    <w:rsid w:val="00991196"/>
    <w:rsid w:val="0099143B"/>
    <w:rsid w:val="00994BB6"/>
    <w:rsid w:val="009A3DF6"/>
    <w:rsid w:val="009B153C"/>
    <w:rsid w:val="009B32D8"/>
    <w:rsid w:val="009B45FF"/>
    <w:rsid w:val="009C0A42"/>
    <w:rsid w:val="009D569B"/>
    <w:rsid w:val="009E1C68"/>
    <w:rsid w:val="009F47E1"/>
    <w:rsid w:val="00A228EE"/>
    <w:rsid w:val="00A315F7"/>
    <w:rsid w:val="00A42298"/>
    <w:rsid w:val="00A47768"/>
    <w:rsid w:val="00A53142"/>
    <w:rsid w:val="00A74FDC"/>
    <w:rsid w:val="00A815F6"/>
    <w:rsid w:val="00A87C60"/>
    <w:rsid w:val="00A91DF0"/>
    <w:rsid w:val="00A94DA6"/>
    <w:rsid w:val="00AB1C70"/>
    <w:rsid w:val="00AC49A3"/>
    <w:rsid w:val="00AC7899"/>
    <w:rsid w:val="00AD5299"/>
    <w:rsid w:val="00AF088F"/>
    <w:rsid w:val="00AF1749"/>
    <w:rsid w:val="00AF22B1"/>
    <w:rsid w:val="00AF3335"/>
    <w:rsid w:val="00B02350"/>
    <w:rsid w:val="00B07A11"/>
    <w:rsid w:val="00B103A4"/>
    <w:rsid w:val="00B146DB"/>
    <w:rsid w:val="00B467E5"/>
    <w:rsid w:val="00B56717"/>
    <w:rsid w:val="00BA04B9"/>
    <w:rsid w:val="00BB0EEC"/>
    <w:rsid w:val="00BB4335"/>
    <w:rsid w:val="00BB4705"/>
    <w:rsid w:val="00BB4E34"/>
    <w:rsid w:val="00BB5585"/>
    <w:rsid w:val="00BD3421"/>
    <w:rsid w:val="00BE0FAE"/>
    <w:rsid w:val="00BE38BC"/>
    <w:rsid w:val="00BF58D7"/>
    <w:rsid w:val="00BF786C"/>
    <w:rsid w:val="00C17FA6"/>
    <w:rsid w:val="00C25FEC"/>
    <w:rsid w:val="00C323E0"/>
    <w:rsid w:val="00C332B3"/>
    <w:rsid w:val="00C37654"/>
    <w:rsid w:val="00C37F28"/>
    <w:rsid w:val="00C47A1F"/>
    <w:rsid w:val="00C55373"/>
    <w:rsid w:val="00C60AC8"/>
    <w:rsid w:val="00C62662"/>
    <w:rsid w:val="00C640EC"/>
    <w:rsid w:val="00C72478"/>
    <w:rsid w:val="00C769E6"/>
    <w:rsid w:val="00C80DB2"/>
    <w:rsid w:val="00CA0B07"/>
    <w:rsid w:val="00CA6AC4"/>
    <w:rsid w:val="00CC1DA9"/>
    <w:rsid w:val="00CE0885"/>
    <w:rsid w:val="00CF3AED"/>
    <w:rsid w:val="00CF5054"/>
    <w:rsid w:val="00D01F56"/>
    <w:rsid w:val="00D0251C"/>
    <w:rsid w:val="00D0362E"/>
    <w:rsid w:val="00D076DC"/>
    <w:rsid w:val="00D107FD"/>
    <w:rsid w:val="00D1396F"/>
    <w:rsid w:val="00D21358"/>
    <w:rsid w:val="00D232EC"/>
    <w:rsid w:val="00D2342C"/>
    <w:rsid w:val="00D27611"/>
    <w:rsid w:val="00D423CB"/>
    <w:rsid w:val="00D44900"/>
    <w:rsid w:val="00D51F26"/>
    <w:rsid w:val="00D53653"/>
    <w:rsid w:val="00D7232B"/>
    <w:rsid w:val="00D81074"/>
    <w:rsid w:val="00D914BC"/>
    <w:rsid w:val="00D96841"/>
    <w:rsid w:val="00DA2882"/>
    <w:rsid w:val="00DC4C66"/>
    <w:rsid w:val="00DC5743"/>
    <w:rsid w:val="00DE05FC"/>
    <w:rsid w:val="00DE7C6B"/>
    <w:rsid w:val="00DF1A67"/>
    <w:rsid w:val="00DF3E82"/>
    <w:rsid w:val="00DF7424"/>
    <w:rsid w:val="00E01A1A"/>
    <w:rsid w:val="00E0227D"/>
    <w:rsid w:val="00E05721"/>
    <w:rsid w:val="00E05929"/>
    <w:rsid w:val="00E06821"/>
    <w:rsid w:val="00E07F23"/>
    <w:rsid w:val="00E11153"/>
    <w:rsid w:val="00E16229"/>
    <w:rsid w:val="00E30EE0"/>
    <w:rsid w:val="00E37032"/>
    <w:rsid w:val="00E43228"/>
    <w:rsid w:val="00E43B92"/>
    <w:rsid w:val="00E618AF"/>
    <w:rsid w:val="00E67789"/>
    <w:rsid w:val="00E946C1"/>
    <w:rsid w:val="00E97D08"/>
    <w:rsid w:val="00EA1C13"/>
    <w:rsid w:val="00EA4FAC"/>
    <w:rsid w:val="00EC106A"/>
    <w:rsid w:val="00EC1EA9"/>
    <w:rsid w:val="00EC2629"/>
    <w:rsid w:val="00EC6B26"/>
    <w:rsid w:val="00ED1F22"/>
    <w:rsid w:val="00ED41DB"/>
    <w:rsid w:val="00F13702"/>
    <w:rsid w:val="00F35F13"/>
    <w:rsid w:val="00F41B6C"/>
    <w:rsid w:val="00F41C1B"/>
    <w:rsid w:val="00F544E3"/>
    <w:rsid w:val="00F65A2D"/>
    <w:rsid w:val="00F74952"/>
    <w:rsid w:val="00F759F2"/>
    <w:rsid w:val="00F75E05"/>
    <w:rsid w:val="00F75E8E"/>
    <w:rsid w:val="00F803F1"/>
    <w:rsid w:val="00F805E8"/>
    <w:rsid w:val="00F979E6"/>
    <w:rsid w:val="00FB1226"/>
    <w:rsid w:val="00FD6058"/>
    <w:rsid w:val="00FF09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24F"/>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1624F"/>
    <w:pPr>
      <w:ind w:left="720"/>
    </w:pPr>
    <w:rPr>
      <w:lang w:val="es-ES_tradnl"/>
    </w:rPr>
  </w:style>
  <w:style w:type="table" w:customStyle="1" w:styleId="Tablaconcuadrcula1">
    <w:name w:val="Tabla con cuadrícula1"/>
    <w:basedOn w:val="Tablanormal"/>
    <w:uiPriority w:val="59"/>
    <w:rsid w:val="0011624F"/>
    <w:pPr>
      <w:spacing w:after="0" w:line="240" w:lineRule="auto"/>
    </w:pPr>
    <w:rPr>
      <w:rFonts w:ascii="Calibri" w:eastAsia="Calibri" w:hAnsi="Calibri" w:cs="Times New Roman"/>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511E9"/>
    <w:rPr>
      <w:rFonts w:ascii="Tahoma" w:hAnsi="Tahoma" w:cs="Tahoma"/>
      <w:sz w:val="16"/>
      <w:szCs w:val="16"/>
    </w:rPr>
  </w:style>
  <w:style w:type="character" w:customStyle="1" w:styleId="TextodegloboCar">
    <w:name w:val="Texto de globo Car"/>
    <w:basedOn w:val="Fuentedeprrafopredeter"/>
    <w:link w:val="Textodeglobo"/>
    <w:uiPriority w:val="99"/>
    <w:semiHidden/>
    <w:rsid w:val="008511E9"/>
    <w:rPr>
      <w:rFonts w:ascii="Tahoma" w:eastAsia="Times New Roman" w:hAnsi="Tahoma" w:cs="Tahoma"/>
      <w:sz w:val="16"/>
      <w:szCs w:val="16"/>
      <w:lang w:val="es-ES"/>
    </w:rPr>
  </w:style>
  <w:style w:type="paragraph" w:styleId="Encabezado">
    <w:name w:val="header"/>
    <w:basedOn w:val="Normal"/>
    <w:link w:val="EncabezadoCar"/>
    <w:uiPriority w:val="99"/>
    <w:unhideWhenUsed/>
    <w:rsid w:val="007C0272"/>
    <w:pPr>
      <w:tabs>
        <w:tab w:val="center" w:pos="4419"/>
        <w:tab w:val="right" w:pos="8838"/>
      </w:tabs>
    </w:pPr>
  </w:style>
  <w:style w:type="character" w:customStyle="1" w:styleId="EncabezadoCar">
    <w:name w:val="Encabezado Car"/>
    <w:basedOn w:val="Fuentedeprrafopredeter"/>
    <w:link w:val="Encabezado"/>
    <w:uiPriority w:val="99"/>
    <w:rsid w:val="007C0272"/>
    <w:rPr>
      <w:rFonts w:ascii="Times New Roman" w:eastAsia="Times New Roman" w:hAnsi="Times New Roman" w:cs="Times New Roman"/>
      <w:sz w:val="24"/>
      <w:szCs w:val="20"/>
      <w:lang w:val="es-ES"/>
    </w:rPr>
  </w:style>
  <w:style w:type="paragraph" w:styleId="Piedepgina">
    <w:name w:val="footer"/>
    <w:basedOn w:val="Normal"/>
    <w:link w:val="PiedepginaCar"/>
    <w:uiPriority w:val="99"/>
    <w:unhideWhenUsed/>
    <w:rsid w:val="007C0272"/>
    <w:pPr>
      <w:tabs>
        <w:tab w:val="center" w:pos="4419"/>
        <w:tab w:val="right" w:pos="8838"/>
      </w:tabs>
    </w:pPr>
  </w:style>
  <w:style w:type="character" w:customStyle="1" w:styleId="PiedepginaCar">
    <w:name w:val="Pie de página Car"/>
    <w:basedOn w:val="Fuentedeprrafopredeter"/>
    <w:link w:val="Piedepgina"/>
    <w:uiPriority w:val="99"/>
    <w:rsid w:val="007C0272"/>
    <w:rPr>
      <w:rFonts w:ascii="Times New Roman" w:eastAsia="Times New Roman" w:hAnsi="Times New Roman" w:cs="Times New Roman"/>
      <w:sz w:val="24"/>
      <w:szCs w:val="20"/>
      <w:lang w:val="es-ES"/>
    </w:rPr>
  </w:style>
  <w:style w:type="table" w:styleId="Tablaconcuadrcula">
    <w:name w:val="Table Grid"/>
    <w:basedOn w:val="Tablanormal"/>
    <w:uiPriority w:val="39"/>
    <w:rsid w:val="007D0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5E6"/>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link w:val="Prrafodelista"/>
    <w:uiPriority w:val="34"/>
    <w:rsid w:val="00935CAD"/>
    <w:rPr>
      <w:rFonts w:ascii="Times New Roman" w:eastAsia="Times New Roman" w:hAnsi="Times New Roman" w:cs="Times New Roman"/>
      <w:sz w:val="24"/>
      <w:szCs w:val="20"/>
      <w:lang w:val="es-ES_tradnl"/>
    </w:rPr>
  </w:style>
  <w:style w:type="character" w:styleId="Refdecomentario">
    <w:name w:val="annotation reference"/>
    <w:basedOn w:val="Fuentedeprrafopredeter"/>
    <w:uiPriority w:val="99"/>
    <w:semiHidden/>
    <w:unhideWhenUsed/>
    <w:rsid w:val="00080CCB"/>
    <w:rPr>
      <w:sz w:val="16"/>
      <w:szCs w:val="16"/>
    </w:rPr>
  </w:style>
  <w:style w:type="paragraph" w:styleId="Textocomentario">
    <w:name w:val="annotation text"/>
    <w:basedOn w:val="Normal"/>
    <w:link w:val="TextocomentarioCar"/>
    <w:uiPriority w:val="99"/>
    <w:semiHidden/>
    <w:unhideWhenUsed/>
    <w:rsid w:val="00080CCB"/>
    <w:rPr>
      <w:sz w:val="20"/>
    </w:rPr>
  </w:style>
  <w:style w:type="character" w:customStyle="1" w:styleId="TextocomentarioCar">
    <w:name w:val="Texto comentario Car"/>
    <w:basedOn w:val="Fuentedeprrafopredeter"/>
    <w:link w:val="Textocomentario"/>
    <w:uiPriority w:val="99"/>
    <w:semiHidden/>
    <w:rsid w:val="00080CC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0CCB"/>
    <w:rPr>
      <w:b/>
      <w:bCs/>
    </w:rPr>
  </w:style>
  <w:style w:type="character" w:customStyle="1" w:styleId="AsuntodelcomentarioCar">
    <w:name w:val="Asunto del comentario Car"/>
    <w:basedOn w:val="TextocomentarioCar"/>
    <w:link w:val="Asuntodelcomentario"/>
    <w:uiPriority w:val="99"/>
    <w:semiHidden/>
    <w:rsid w:val="00080CCB"/>
    <w:rPr>
      <w:rFonts w:ascii="Times New Roman" w:eastAsia="Times New Roman" w:hAnsi="Times New Roman" w:cs="Times New Roman"/>
      <w:b/>
      <w:bCs/>
      <w:sz w:val="20"/>
      <w:szCs w:val="20"/>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7422">
      <w:bodyDiv w:val="1"/>
      <w:marLeft w:val="0"/>
      <w:marRight w:val="0"/>
      <w:marTop w:val="0"/>
      <w:marBottom w:val="0"/>
      <w:divBdr>
        <w:top w:val="none" w:sz="0" w:space="0" w:color="auto"/>
        <w:left w:val="none" w:sz="0" w:space="0" w:color="auto"/>
        <w:bottom w:val="none" w:sz="0" w:space="0" w:color="auto"/>
        <w:right w:val="none" w:sz="0" w:space="0" w:color="auto"/>
      </w:divBdr>
    </w:div>
    <w:div w:id="4787962">
      <w:bodyDiv w:val="1"/>
      <w:marLeft w:val="0"/>
      <w:marRight w:val="0"/>
      <w:marTop w:val="0"/>
      <w:marBottom w:val="0"/>
      <w:divBdr>
        <w:top w:val="none" w:sz="0" w:space="0" w:color="auto"/>
        <w:left w:val="none" w:sz="0" w:space="0" w:color="auto"/>
        <w:bottom w:val="none" w:sz="0" w:space="0" w:color="auto"/>
        <w:right w:val="none" w:sz="0" w:space="0" w:color="auto"/>
      </w:divBdr>
    </w:div>
    <w:div w:id="37240388">
      <w:bodyDiv w:val="1"/>
      <w:marLeft w:val="0"/>
      <w:marRight w:val="0"/>
      <w:marTop w:val="0"/>
      <w:marBottom w:val="0"/>
      <w:divBdr>
        <w:top w:val="none" w:sz="0" w:space="0" w:color="auto"/>
        <w:left w:val="none" w:sz="0" w:space="0" w:color="auto"/>
        <w:bottom w:val="none" w:sz="0" w:space="0" w:color="auto"/>
        <w:right w:val="none" w:sz="0" w:space="0" w:color="auto"/>
      </w:divBdr>
    </w:div>
    <w:div w:id="53822129">
      <w:bodyDiv w:val="1"/>
      <w:marLeft w:val="0"/>
      <w:marRight w:val="0"/>
      <w:marTop w:val="0"/>
      <w:marBottom w:val="0"/>
      <w:divBdr>
        <w:top w:val="none" w:sz="0" w:space="0" w:color="auto"/>
        <w:left w:val="none" w:sz="0" w:space="0" w:color="auto"/>
        <w:bottom w:val="none" w:sz="0" w:space="0" w:color="auto"/>
        <w:right w:val="none" w:sz="0" w:space="0" w:color="auto"/>
      </w:divBdr>
    </w:div>
    <w:div w:id="56756433">
      <w:bodyDiv w:val="1"/>
      <w:marLeft w:val="0"/>
      <w:marRight w:val="0"/>
      <w:marTop w:val="0"/>
      <w:marBottom w:val="0"/>
      <w:divBdr>
        <w:top w:val="none" w:sz="0" w:space="0" w:color="auto"/>
        <w:left w:val="none" w:sz="0" w:space="0" w:color="auto"/>
        <w:bottom w:val="none" w:sz="0" w:space="0" w:color="auto"/>
        <w:right w:val="none" w:sz="0" w:space="0" w:color="auto"/>
      </w:divBdr>
    </w:div>
    <w:div w:id="101845440">
      <w:bodyDiv w:val="1"/>
      <w:marLeft w:val="0"/>
      <w:marRight w:val="0"/>
      <w:marTop w:val="0"/>
      <w:marBottom w:val="0"/>
      <w:divBdr>
        <w:top w:val="none" w:sz="0" w:space="0" w:color="auto"/>
        <w:left w:val="none" w:sz="0" w:space="0" w:color="auto"/>
        <w:bottom w:val="none" w:sz="0" w:space="0" w:color="auto"/>
        <w:right w:val="none" w:sz="0" w:space="0" w:color="auto"/>
      </w:divBdr>
    </w:div>
    <w:div w:id="109474099">
      <w:bodyDiv w:val="1"/>
      <w:marLeft w:val="0"/>
      <w:marRight w:val="0"/>
      <w:marTop w:val="0"/>
      <w:marBottom w:val="0"/>
      <w:divBdr>
        <w:top w:val="none" w:sz="0" w:space="0" w:color="auto"/>
        <w:left w:val="none" w:sz="0" w:space="0" w:color="auto"/>
        <w:bottom w:val="none" w:sz="0" w:space="0" w:color="auto"/>
        <w:right w:val="none" w:sz="0" w:space="0" w:color="auto"/>
      </w:divBdr>
    </w:div>
    <w:div w:id="128284787">
      <w:bodyDiv w:val="1"/>
      <w:marLeft w:val="0"/>
      <w:marRight w:val="0"/>
      <w:marTop w:val="0"/>
      <w:marBottom w:val="0"/>
      <w:divBdr>
        <w:top w:val="none" w:sz="0" w:space="0" w:color="auto"/>
        <w:left w:val="none" w:sz="0" w:space="0" w:color="auto"/>
        <w:bottom w:val="none" w:sz="0" w:space="0" w:color="auto"/>
        <w:right w:val="none" w:sz="0" w:space="0" w:color="auto"/>
      </w:divBdr>
    </w:div>
    <w:div w:id="148448585">
      <w:bodyDiv w:val="1"/>
      <w:marLeft w:val="0"/>
      <w:marRight w:val="0"/>
      <w:marTop w:val="0"/>
      <w:marBottom w:val="0"/>
      <w:divBdr>
        <w:top w:val="none" w:sz="0" w:space="0" w:color="auto"/>
        <w:left w:val="none" w:sz="0" w:space="0" w:color="auto"/>
        <w:bottom w:val="none" w:sz="0" w:space="0" w:color="auto"/>
        <w:right w:val="none" w:sz="0" w:space="0" w:color="auto"/>
      </w:divBdr>
    </w:div>
    <w:div w:id="169836539">
      <w:bodyDiv w:val="1"/>
      <w:marLeft w:val="0"/>
      <w:marRight w:val="0"/>
      <w:marTop w:val="0"/>
      <w:marBottom w:val="0"/>
      <w:divBdr>
        <w:top w:val="none" w:sz="0" w:space="0" w:color="auto"/>
        <w:left w:val="none" w:sz="0" w:space="0" w:color="auto"/>
        <w:bottom w:val="none" w:sz="0" w:space="0" w:color="auto"/>
        <w:right w:val="none" w:sz="0" w:space="0" w:color="auto"/>
      </w:divBdr>
    </w:div>
    <w:div w:id="256528256">
      <w:bodyDiv w:val="1"/>
      <w:marLeft w:val="0"/>
      <w:marRight w:val="0"/>
      <w:marTop w:val="0"/>
      <w:marBottom w:val="0"/>
      <w:divBdr>
        <w:top w:val="none" w:sz="0" w:space="0" w:color="auto"/>
        <w:left w:val="none" w:sz="0" w:space="0" w:color="auto"/>
        <w:bottom w:val="none" w:sz="0" w:space="0" w:color="auto"/>
        <w:right w:val="none" w:sz="0" w:space="0" w:color="auto"/>
      </w:divBdr>
    </w:div>
    <w:div w:id="288972951">
      <w:bodyDiv w:val="1"/>
      <w:marLeft w:val="0"/>
      <w:marRight w:val="0"/>
      <w:marTop w:val="0"/>
      <w:marBottom w:val="0"/>
      <w:divBdr>
        <w:top w:val="none" w:sz="0" w:space="0" w:color="auto"/>
        <w:left w:val="none" w:sz="0" w:space="0" w:color="auto"/>
        <w:bottom w:val="none" w:sz="0" w:space="0" w:color="auto"/>
        <w:right w:val="none" w:sz="0" w:space="0" w:color="auto"/>
      </w:divBdr>
    </w:div>
    <w:div w:id="338585738">
      <w:bodyDiv w:val="1"/>
      <w:marLeft w:val="0"/>
      <w:marRight w:val="0"/>
      <w:marTop w:val="0"/>
      <w:marBottom w:val="0"/>
      <w:divBdr>
        <w:top w:val="none" w:sz="0" w:space="0" w:color="auto"/>
        <w:left w:val="none" w:sz="0" w:space="0" w:color="auto"/>
        <w:bottom w:val="none" w:sz="0" w:space="0" w:color="auto"/>
        <w:right w:val="none" w:sz="0" w:space="0" w:color="auto"/>
      </w:divBdr>
    </w:div>
    <w:div w:id="363793674">
      <w:bodyDiv w:val="1"/>
      <w:marLeft w:val="0"/>
      <w:marRight w:val="0"/>
      <w:marTop w:val="0"/>
      <w:marBottom w:val="0"/>
      <w:divBdr>
        <w:top w:val="none" w:sz="0" w:space="0" w:color="auto"/>
        <w:left w:val="none" w:sz="0" w:space="0" w:color="auto"/>
        <w:bottom w:val="none" w:sz="0" w:space="0" w:color="auto"/>
        <w:right w:val="none" w:sz="0" w:space="0" w:color="auto"/>
      </w:divBdr>
    </w:div>
    <w:div w:id="369912861">
      <w:bodyDiv w:val="1"/>
      <w:marLeft w:val="0"/>
      <w:marRight w:val="0"/>
      <w:marTop w:val="0"/>
      <w:marBottom w:val="0"/>
      <w:divBdr>
        <w:top w:val="none" w:sz="0" w:space="0" w:color="auto"/>
        <w:left w:val="none" w:sz="0" w:space="0" w:color="auto"/>
        <w:bottom w:val="none" w:sz="0" w:space="0" w:color="auto"/>
        <w:right w:val="none" w:sz="0" w:space="0" w:color="auto"/>
      </w:divBdr>
    </w:div>
    <w:div w:id="435441368">
      <w:bodyDiv w:val="1"/>
      <w:marLeft w:val="0"/>
      <w:marRight w:val="0"/>
      <w:marTop w:val="0"/>
      <w:marBottom w:val="0"/>
      <w:divBdr>
        <w:top w:val="none" w:sz="0" w:space="0" w:color="auto"/>
        <w:left w:val="none" w:sz="0" w:space="0" w:color="auto"/>
        <w:bottom w:val="none" w:sz="0" w:space="0" w:color="auto"/>
        <w:right w:val="none" w:sz="0" w:space="0" w:color="auto"/>
      </w:divBdr>
    </w:div>
    <w:div w:id="444741109">
      <w:bodyDiv w:val="1"/>
      <w:marLeft w:val="0"/>
      <w:marRight w:val="0"/>
      <w:marTop w:val="0"/>
      <w:marBottom w:val="0"/>
      <w:divBdr>
        <w:top w:val="none" w:sz="0" w:space="0" w:color="auto"/>
        <w:left w:val="none" w:sz="0" w:space="0" w:color="auto"/>
        <w:bottom w:val="none" w:sz="0" w:space="0" w:color="auto"/>
        <w:right w:val="none" w:sz="0" w:space="0" w:color="auto"/>
      </w:divBdr>
    </w:div>
    <w:div w:id="450635533">
      <w:bodyDiv w:val="1"/>
      <w:marLeft w:val="0"/>
      <w:marRight w:val="0"/>
      <w:marTop w:val="0"/>
      <w:marBottom w:val="0"/>
      <w:divBdr>
        <w:top w:val="none" w:sz="0" w:space="0" w:color="auto"/>
        <w:left w:val="none" w:sz="0" w:space="0" w:color="auto"/>
        <w:bottom w:val="none" w:sz="0" w:space="0" w:color="auto"/>
        <w:right w:val="none" w:sz="0" w:space="0" w:color="auto"/>
      </w:divBdr>
    </w:div>
    <w:div w:id="468406070">
      <w:bodyDiv w:val="1"/>
      <w:marLeft w:val="0"/>
      <w:marRight w:val="0"/>
      <w:marTop w:val="0"/>
      <w:marBottom w:val="0"/>
      <w:divBdr>
        <w:top w:val="none" w:sz="0" w:space="0" w:color="auto"/>
        <w:left w:val="none" w:sz="0" w:space="0" w:color="auto"/>
        <w:bottom w:val="none" w:sz="0" w:space="0" w:color="auto"/>
        <w:right w:val="none" w:sz="0" w:space="0" w:color="auto"/>
      </w:divBdr>
    </w:div>
    <w:div w:id="538393683">
      <w:bodyDiv w:val="1"/>
      <w:marLeft w:val="0"/>
      <w:marRight w:val="0"/>
      <w:marTop w:val="0"/>
      <w:marBottom w:val="0"/>
      <w:divBdr>
        <w:top w:val="none" w:sz="0" w:space="0" w:color="auto"/>
        <w:left w:val="none" w:sz="0" w:space="0" w:color="auto"/>
        <w:bottom w:val="none" w:sz="0" w:space="0" w:color="auto"/>
        <w:right w:val="none" w:sz="0" w:space="0" w:color="auto"/>
      </w:divBdr>
    </w:div>
    <w:div w:id="550265135">
      <w:bodyDiv w:val="1"/>
      <w:marLeft w:val="0"/>
      <w:marRight w:val="0"/>
      <w:marTop w:val="0"/>
      <w:marBottom w:val="0"/>
      <w:divBdr>
        <w:top w:val="none" w:sz="0" w:space="0" w:color="auto"/>
        <w:left w:val="none" w:sz="0" w:space="0" w:color="auto"/>
        <w:bottom w:val="none" w:sz="0" w:space="0" w:color="auto"/>
        <w:right w:val="none" w:sz="0" w:space="0" w:color="auto"/>
      </w:divBdr>
    </w:div>
    <w:div w:id="580258273">
      <w:bodyDiv w:val="1"/>
      <w:marLeft w:val="0"/>
      <w:marRight w:val="0"/>
      <w:marTop w:val="0"/>
      <w:marBottom w:val="0"/>
      <w:divBdr>
        <w:top w:val="none" w:sz="0" w:space="0" w:color="auto"/>
        <w:left w:val="none" w:sz="0" w:space="0" w:color="auto"/>
        <w:bottom w:val="none" w:sz="0" w:space="0" w:color="auto"/>
        <w:right w:val="none" w:sz="0" w:space="0" w:color="auto"/>
      </w:divBdr>
    </w:div>
    <w:div w:id="598829225">
      <w:bodyDiv w:val="1"/>
      <w:marLeft w:val="0"/>
      <w:marRight w:val="0"/>
      <w:marTop w:val="0"/>
      <w:marBottom w:val="0"/>
      <w:divBdr>
        <w:top w:val="none" w:sz="0" w:space="0" w:color="auto"/>
        <w:left w:val="none" w:sz="0" w:space="0" w:color="auto"/>
        <w:bottom w:val="none" w:sz="0" w:space="0" w:color="auto"/>
        <w:right w:val="none" w:sz="0" w:space="0" w:color="auto"/>
      </w:divBdr>
    </w:div>
    <w:div w:id="648361558">
      <w:bodyDiv w:val="1"/>
      <w:marLeft w:val="0"/>
      <w:marRight w:val="0"/>
      <w:marTop w:val="0"/>
      <w:marBottom w:val="0"/>
      <w:divBdr>
        <w:top w:val="none" w:sz="0" w:space="0" w:color="auto"/>
        <w:left w:val="none" w:sz="0" w:space="0" w:color="auto"/>
        <w:bottom w:val="none" w:sz="0" w:space="0" w:color="auto"/>
        <w:right w:val="none" w:sz="0" w:space="0" w:color="auto"/>
      </w:divBdr>
    </w:div>
    <w:div w:id="682973573">
      <w:bodyDiv w:val="1"/>
      <w:marLeft w:val="0"/>
      <w:marRight w:val="0"/>
      <w:marTop w:val="0"/>
      <w:marBottom w:val="0"/>
      <w:divBdr>
        <w:top w:val="none" w:sz="0" w:space="0" w:color="auto"/>
        <w:left w:val="none" w:sz="0" w:space="0" w:color="auto"/>
        <w:bottom w:val="none" w:sz="0" w:space="0" w:color="auto"/>
        <w:right w:val="none" w:sz="0" w:space="0" w:color="auto"/>
      </w:divBdr>
    </w:div>
    <w:div w:id="685866194">
      <w:bodyDiv w:val="1"/>
      <w:marLeft w:val="0"/>
      <w:marRight w:val="0"/>
      <w:marTop w:val="0"/>
      <w:marBottom w:val="0"/>
      <w:divBdr>
        <w:top w:val="none" w:sz="0" w:space="0" w:color="auto"/>
        <w:left w:val="none" w:sz="0" w:space="0" w:color="auto"/>
        <w:bottom w:val="none" w:sz="0" w:space="0" w:color="auto"/>
        <w:right w:val="none" w:sz="0" w:space="0" w:color="auto"/>
      </w:divBdr>
    </w:div>
    <w:div w:id="761605912">
      <w:bodyDiv w:val="1"/>
      <w:marLeft w:val="0"/>
      <w:marRight w:val="0"/>
      <w:marTop w:val="0"/>
      <w:marBottom w:val="0"/>
      <w:divBdr>
        <w:top w:val="none" w:sz="0" w:space="0" w:color="auto"/>
        <w:left w:val="none" w:sz="0" w:space="0" w:color="auto"/>
        <w:bottom w:val="none" w:sz="0" w:space="0" w:color="auto"/>
        <w:right w:val="none" w:sz="0" w:space="0" w:color="auto"/>
      </w:divBdr>
    </w:div>
    <w:div w:id="762726513">
      <w:bodyDiv w:val="1"/>
      <w:marLeft w:val="0"/>
      <w:marRight w:val="0"/>
      <w:marTop w:val="0"/>
      <w:marBottom w:val="0"/>
      <w:divBdr>
        <w:top w:val="none" w:sz="0" w:space="0" w:color="auto"/>
        <w:left w:val="none" w:sz="0" w:space="0" w:color="auto"/>
        <w:bottom w:val="none" w:sz="0" w:space="0" w:color="auto"/>
        <w:right w:val="none" w:sz="0" w:space="0" w:color="auto"/>
      </w:divBdr>
    </w:div>
    <w:div w:id="803887404">
      <w:bodyDiv w:val="1"/>
      <w:marLeft w:val="0"/>
      <w:marRight w:val="0"/>
      <w:marTop w:val="0"/>
      <w:marBottom w:val="0"/>
      <w:divBdr>
        <w:top w:val="none" w:sz="0" w:space="0" w:color="auto"/>
        <w:left w:val="none" w:sz="0" w:space="0" w:color="auto"/>
        <w:bottom w:val="none" w:sz="0" w:space="0" w:color="auto"/>
        <w:right w:val="none" w:sz="0" w:space="0" w:color="auto"/>
      </w:divBdr>
    </w:div>
    <w:div w:id="817038481">
      <w:bodyDiv w:val="1"/>
      <w:marLeft w:val="0"/>
      <w:marRight w:val="0"/>
      <w:marTop w:val="0"/>
      <w:marBottom w:val="0"/>
      <w:divBdr>
        <w:top w:val="none" w:sz="0" w:space="0" w:color="auto"/>
        <w:left w:val="none" w:sz="0" w:space="0" w:color="auto"/>
        <w:bottom w:val="none" w:sz="0" w:space="0" w:color="auto"/>
        <w:right w:val="none" w:sz="0" w:space="0" w:color="auto"/>
      </w:divBdr>
    </w:div>
    <w:div w:id="827283482">
      <w:bodyDiv w:val="1"/>
      <w:marLeft w:val="0"/>
      <w:marRight w:val="0"/>
      <w:marTop w:val="0"/>
      <w:marBottom w:val="0"/>
      <w:divBdr>
        <w:top w:val="none" w:sz="0" w:space="0" w:color="auto"/>
        <w:left w:val="none" w:sz="0" w:space="0" w:color="auto"/>
        <w:bottom w:val="none" w:sz="0" w:space="0" w:color="auto"/>
        <w:right w:val="none" w:sz="0" w:space="0" w:color="auto"/>
      </w:divBdr>
    </w:div>
    <w:div w:id="834686474">
      <w:bodyDiv w:val="1"/>
      <w:marLeft w:val="0"/>
      <w:marRight w:val="0"/>
      <w:marTop w:val="0"/>
      <w:marBottom w:val="0"/>
      <w:divBdr>
        <w:top w:val="none" w:sz="0" w:space="0" w:color="auto"/>
        <w:left w:val="none" w:sz="0" w:space="0" w:color="auto"/>
        <w:bottom w:val="none" w:sz="0" w:space="0" w:color="auto"/>
        <w:right w:val="none" w:sz="0" w:space="0" w:color="auto"/>
      </w:divBdr>
    </w:div>
    <w:div w:id="850920449">
      <w:bodyDiv w:val="1"/>
      <w:marLeft w:val="0"/>
      <w:marRight w:val="0"/>
      <w:marTop w:val="0"/>
      <w:marBottom w:val="0"/>
      <w:divBdr>
        <w:top w:val="none" w:sz="0" w:space="0" w:color="auto"/>
        <w:left w:val="none" w:sz="0" w:space="0" w:color="auto"/>
        <w:bottom w:val="none" w:sz="0" w:space="0" w:color="auto"/>
        <w:right w:val="none" w:sz="0" w:space="0" w:color="auto"/>
      </w:divBdr>
    </w:div>
    <w:div w:id="886138618">
      <w:bodyDiv w:val="1"/>
      <w:marLeft w:val="0"/>
      <w:marRight w:val="0"/>
      <w:marTop w:val="0"/>
      <w:marBottom w:val="0"/>
      <w:divBdr>
        <w:top w:val="none" w:sz="0" w:space="0" w:color="auto"/>
        <w:left w:val="none" w:sz="0" w:space="0" w:color="auto"/>
        <w:bottom w:val="none" w:sz="0" w:space="0" w:color="auto"/>
        <w:right w:val="none" w:sz="0" w:space="0" w:color="auto"/>
      </w:divBdr>
    </w:div>
    <w:div w:id="984620947">
      <w:bodyDiv w:val="1"/>
      <w:marLeft w:val="0"/>
      <w:marRight w:val="0"/>
      <w:marTop w:val="0"/>
      <w:marBottom w:val="0"/>
      <w:divBdr>
        <w:top w:val="none" w:sz="0" w:space="0" w:color="auto"/>
        <w:left w:val="none" w:sz="0" w:space="0" w:color="auto"/>
        <w:bottom w:val="none" w:sz="0" w:space="0" w:color="auto"/>
        <w:right w:val="none" w:sz="0" w:space="0" w:color="auto"/>
      </w:divBdr>
    </w:div>
    <w:div w:id="994333802">
      <w:bodyDiv w:val="1"/>
      <w:marLeft w:val="0"/>
      <w:marRight w:val="0"/>
      <w:marTop w:val="0"/>
      <w:marBottom w:val="0"/>
      <w:divBdr>
        <w:top w:val="none" w:sz="0" w:space="0" w:color="auto"/>
        <w:left w:val="none" w:sz="0" w:space="0" w:color="auto"/>
        <w:bottom w:val="none" w:sz="0" w:space="0" w:color="auto"/>
        <w:right w:val="none" w:sz="0" w:space="0" w:color="auto"/>
      </w:divBdr>
    </w:div>
    <w:div w:id="994992293">
      <w:bodyDiv w:val="1"/>
      <w:marLeft w:val="0"/>
      <w:marRight w:val="0"/>
      <w:marTop w:val="0"/>
      <w:marBottom w:val="0"/>
      <w:divBdr>
        <w:top w:val="none" w:sz="0" w:space="0" w:color="auto"/>
        <w:left w:val="none" w:sz="0" w:space="0" w:color="auto"/>
        <w:bottom w:val="none" w:sz="0" w:space="0" w:color="auto"/>
        <w:right w:val="none" w:sz="0" w:space="0" w:color="auto"/>
      </w:divBdr>
    </w:div>
    <w:div w:id="1002899705">
      <w:bodyDiv w:val="1"/>
      <w:marLeft w:val="0"/>
      <w:marRight w:val="0"/>
      <w:marTop w:val="0"/>
      <w:marBottom w:val="0"/>
      <w:divBdr>
        <w:top w:val="none" w:sz="0" w:space="0" w:color="auto"/>
        <w:left w:val="none" w:sz="0" w:space="0" w:color="auto"/>
        <w:bottom w:val="none" w:sz="0" w:space="0" w:color="auto"/>
        <w:right w:val="none" w:sz="0" w:space="0" w:color="auto"/>
      </w:divBdr>
    </w:div>
    <w:div w:id="1015808131">
      <w:bodyDiv w:val="1"/>
      <w:marLeft w:val="0"/>
      <w:marRight w:val="0"/>
      <w:marTop w:val="0"/>
      <w:marBottom w:val="0"/>
      <w:divBdr>
        <w:top w:val="none" w:sz="0" w:space="0" w:color="auto"/>
        <w:left w:val="none" w:sz="0" w:space="0" w:color="auto"/>
        <w:bottom w:val="none" w:sz="0" w:space="0" w:color="auto"/>
        <w:right w:val="none" w:sz="0" w:space="0" w:color="auto"/>
      </w:divBdr>
    </w:div>
    <w:div w:id="1031220199">
      <w:bodyDiv w:val="1"/>
      <w:marLeft w:val="0"/>
      <w:marRight w:val="0"/>
      <w:marTop w:val="0"/>
      <w:marBottom w:val="0"/>
      <w:divBdr>
        <w:top w:val="none" w:sz="0" w:space="0" w:color="auto"/>
        <w:left w:val="none" w:sz="0" w:space="0" w:color="auto"/>
        <w:bottom w:val="none" w:sz="0" w:space="0" w:color="auto"/>
        <w:right w:val="none" w:sz="0" w:space="0" w:color="auto"/>
      </w:divBdr>
    </w:div>
    <w:div w:id="1071006520">
      <w:bodyDiv w:val="1"/>
      <w:marLeft w:val="0"/>
      <w:marRight w:val="0"/>
      <w:marTop w:val="0"/>
      <w:marBottom w:val="0"/>
      <w:divBdr>
        <w:top w:val="none" w:sz="0" w:space="0" w:color="auto"/>
        <w:left w:val="none" w:sz="0" w:space="0" w:color="auto"/>
        <w:bottom w:val="none" w:sz="0" w:space="0" w:color="auto"/>
        <w:right w:val="none" w:sz="0" w:space="0" w:color="auto"/>
      </w:divBdr>
    </w:div>
    <w:div w:id="1104813104">
      <w:bodyDiv w:val="1"/>
      <w:marLeft w:val="0"/>
      <w:marRight w:val="0"/>
      <w:marTop w:val="0"/>
      <w:marBottom w:val="0"/>
      <w:divBdr>
        <w:top w:val="none" w:sz="0" w:space="0" w:color="auto"/>
        <w:left w:val="none" w:sz="0" w:space="0" w:color="auto"/>
        <w:bottom w:val="none" w:sz="0" w:space="0" w:color="auto"/>
        <w:right w:val="none" w:sz="0" w:space="0" w:color="auto"/>
      </w:divBdr>
    </w:div>
    <w:div w:id="1107506059">
      <w:bodyDiv w:val="1"/>
      <w:marLeft w:val="0"/>
      <w:marRight w:val="0"/>
      <w:marTop w:val="0"/>
      <w:marBottom w:val="0"/>
      <w:divBdr>
        <w:top w:val="none" w:sz="0" w:space="0" w:color="auto"/>
        <w:left w:val="none" w:sz="0" w:space="0" w:color="auto"/>
        <w:bottom w:val="none" w:sz="0" w:space="0" w:color="auto"/>
        <w:right w:val="none" w:sz="0" w:space="0" w:color="auto"/>
      </w:divBdr>
    </w:div>
    <w:div w:id="1165321008">
      <w:bodyDiv w:val="1"/>
      <w:marLeft w:val="0"/>
      <w:marRight w:val="0"/>
      <w:marTop w:val="0"/>
      <w:marBottom w:val="0"/>
      <w:divBdr>
        <w:top w:val="none" w:sz="0" w:space="0" w:color="auto"/>
        <w:left w:val="none" w:sz="0" w:space="0" w:color="auto"/>
        <w:bottom w:val="none" w:sz="0" w:space="0" w:color="auto"/>
        <w:right w:val="none" w:sz="0" w:space="0" w:color="auto"/>
      </w:divBdr>
    </w:div>
    <w:div w:id="1180313185">
      <w:bodyDiv w:val="1"/>
      <w:marLeft w:val="0"/>
      <w:marRight w:val="0"/>
      <w:marTop w:val="0"/>
      <w:marBottom w:val="0"/>
      <w:divBdr>
        <w:top w:val="none" w:sz="0" w:space="0" w:color="auto"/>
        <w:left w:val="none" w:sz="0" w:space="0" w:color="auto"/>
        <w:bottom w:val="none" w:sz="0" w:space="0" w:color="auto"/>
        <w:right w:val="none" w:sz="0" w:space="0" w:color="auto"/>
      </w:divBdr>
    </w:div>
    <w:div w:id="1203666846">
      <w:bodyDiv w:val="1"/>
      <w:marLeft w:val="0"/>
      <w:marRight w:val="0"/>
      <w:marTop w:val="0"/>
      <w:marBottom w:val="0"/>
      <w:divBdr>
        <w:top w:val="none" w:sz="0" w:space="0" w:color="auto"/>
        <w:left w:val="none" w:sz="0" w:space="0" w:color="auto"/>
        <w:bottom w:val="none" w:sz="0" w:space="0" w:color="auto"/>
        <w:right w:val="none" w:sz="0" w:space="0" w:color="auto"/>
      </w:divBdr>
    </w:div>
    <w:div w:id="1223710971">
      <w:bodyDiv w:val="1"/>
      <w:marLeft w:val="0"/>
      <w:marRight w:val="0"/>
      <w:marTop w:val="0"/>
      <w:marBottom w:val="0"/>
      <w:divBdr>
        <w:top w:val="none" w:sz="0" w:space="0" w:color="auto"/>
        <w:left w:val="none" w:sz="0" w:space="0" w:color="auto"/>
        <w:bottom w:val="none" w:sz="0" w:space="0" w:color="auto"/>
        <w:right w:val="none" w:sz="0" w:space="0" w:color="auto"/>
      </w:divBdr>
    </w:div>
    <w:div w:id="1266501934">
      <w:bodyDiv w:val="1"/>
      <w:marLeft w:val="0"/>
      <w:marRight w:val="0"/>
      <w:marTop w:val="0"/>
      <w:marBottom w:val="0"/>
      <w:divBdr>
        <w:top w:val="none" w:sz="0" w:space="0" w:color="auto"/>
        <w:left w:val="none" w:sz="0" w:space="0" w:color="auto"/>
        <w:bottom w:val="none" w:sz="0" w:space="0" w:color="auto"/>
        <w:right w:val="none" w:sz="0" w:space="0" w:color="auto"/>
      </w:divBdr>
    </w:div>
    <w:div w:id="1315137705">
      <w:bodyDiv w:val="1"/>
      <w:marLeft w:val="0"/>
      <w:marRight w:val="0"/>
      <w:marTop w:val="0"/>
      <w:marBottom w:val="0"/>
      <w:divBdr>
        <w:top w:val="none" w:sz="0" w:space="0" w:color="auto"/>
        <w:left w:val="none" w:sz="0" w:space="0" w:color="auto"/>
        <w:bottom w:val="none" w:sz="0" w:space="0" w:color="auto"/>
        <w:right w:val="none" w:sz="0" w:space="0" w:color="auto"/>
      </w:divBdr>
    </w:div>
    <w:div w:id="1407142045">
      <w:bodyDiv w:val="1"/>
      <w:marLeft w:val="0"/>
      <w:marRight w:val="0"/>
      <w:marTop w:val="0"/>
      <w:marBottom w:val="0"/>
      <w:divBdr>
        <w:top w:val="none" w:sz="0" w:space="0" w:color="auto"/>
        <w:left w:val="none" w:sz="0" w:space="0" w:color="auto"/>
        <w:bottom w:val="none" w:sz="0" w:space="0" w:color="auto"/>
        <w:right w:val="none" w:sz="0" w:space="0" w:color="auto"/>
      </w:divBdr>
    </w:div>
    <w:div w:id="1427386990">
      <w:bodyDiv w:val="1"/>
      <w:marLeft w:val="0"/>
      <w:marRight w:val="0"/>
      <w:marTop w:val="0"/>
      <w:marBottom w:val="0"/>
      <w:divBdr>
        <w:top w:val="none" w:sz="0" w:space="0" w:color="auto"/>
        <w:left w:val="none" w:sz="0" w:space="0" w:color="auto"/>
        <w:bottom w:val="none" w:sz="0" w:space="0" w:color="auto"/>
        <w:right w:val="none" w:sz="0" w:space="0" w:color="auto"/>
      </w:divBdr>
    </w:div>
    <w:div w:id="1443919855">
      <w:bodyDiv w:val="1"/>
      <w:marLeft w:val="0"/>
      <w:marRight w:val="0"/>
      <w:marTop w:val="0"/>
      <w:marBottom w:val="0"/>
      <w:divBdr>
        <w:top w:val="none" w:sz="0" w:space="0" w:color="auto"/>
        <w:left w:val="none" w:sz="0" w:space="0" w:color="auto"/>
        <w:bottom w:val="none" w:sz="0" w:space="0" w:color="auto"/>
        <w:right w:val="none" w:sz="0" w:space="0" w:color="auto"/>
      </w:divBdr>
    </w:div>
    <w:div w:id="1486312735">
      <w:bodyDiv w:val="1"/>
      <w:marLeft w:val="0"/>
      <w:marRight w:val="0"/>
      <w:marTop w:val="0"/>
      <w:marBottom w:val="0"/>
      <w:divBdr>
        <w:top w:val="none" w:sz="0" w:space="0" w:color="auto"/>
        <w:left w:val="none" w:sz="0" w:space="0" w:color="auto"/>
        <w:bottom w:val="none" w:sz="0" w:space="0" w:color="auto"/>
        <w:right w:val="none" w:sz="0" w:space="0" w:color="auto"/>
      </w:divBdr>
    </w:div>
    <w:div w:id="1521776668">
      <w:bodyDiv w:val="1"/>
      <w:marLeft w:val="0"/>
      <w:marRight w:val="0"/>
      <w:marTop w:val="0"/>
      <w:marBottom w:val="0"/>
      <w:divBdr>
        <w:top w:val="none" w:sz="0" w:space="0" w:color="auto"/>
        <w:left w:val="none" w:sz="0" w:space="0" w:color="auto"/>
        <w:bottom w:val="none" w:sz="0" w:space="0" w:color="auto"/>
        <w:right w:val="none" w:sz="0" w:space="0" w:color="auto"/>
      </w:divBdr>
    </w:div>
    <w:div w:id="1537427064">
      <w:bodyDiv w:val="1"/>
      <w:marLeft w:val="0"/>
      <w:marRight w:val="0"/>
      <w:marTop w:val="0"/>
      <w:marBottom w:val="0"/>
      <w:divBdr>
        <w:top w:val="none" w:sz="0" w:space="0" w:color="auto"/>
        <w:left w:val="none" w:sz="0" w:space="0" w:color="auto"/>
        <w:bottom w:val="none" w:sz="0" w:space="0" w:color="auto"/>
        <w:right w:val="none" w:sz="0" w:space="0" w:color="auto"/>
      </w:divBdr>
    </w:div>
    <w:div w:id="1543713519">
      <w:bodyDiv w:val="1"/>
      <w:marLeft w:val="0"/>
      <w:marRight w:val="0"/>
      <w:marTop w:val="0"/>
      <w:marBottom w:val="0"/>
      <w:divBdr>
        <w:top w:val="none" w:sz="0" w:space="0" w:color="auto"/>
        <w:left w:val="none" w:sz="0" w:space="0" w:color="auto"/>
        <w:bottom w:val="none" w:sz="0" w:space="0" w:color="auto"/>
        <w:right w:val="none" w:sz="0" w:space="0" w:color="auto"/>
      </w:divBdr>
    </w:div>
    <w:div w:id="1588228702">
      <w:bodyDiv w:val="1"/>
      <w:marLeft w:val="0"/>
      <w:marRight w:val="0"/>
      <w:marTop w:val="0"/>
      <w:marBottom w:val="0"/>
      <w:divBdr>
        <w:top w:val="none" w:sz="0" w:space="0" w:color="auto"/>
        <w:left w:val="none" w:sz="0" w:space="0" w:color="auto"/>
        <w:bottom w:val="none" w:sz="0" w:space="0" w:color="auto"/>
        <w:right w:val="none" w:sz="0" w:space="0" w:color="auto"/>
      </w:divBdr>
    </w:div>
    <w:div w:id="1643659720">
      <w:bodyDiv w:val="1"/>
      <w:marLeft w:val="0"/>
      <w:marRight w:val="0"/>
      <w:marTop w:val="0"/>
      <w:marBottom w:val="0"/>
      <w:divBdr>
        <w:top w:val="none" w:sz="0" w:space="0" w:color="auto"/>
        <w:left w:val="none" w:sz="0" w:space="0" w:color="auto"/>
        <w:bottom w:val="none" w:sz="0" w:space="0" w:color="auto"/>
        <w:right w:val="none" w:sz="0" w:space="0" w:color="auto"/>
      </w:divBdr>
    </w:div>
    <w:div w:id="1646349298">
      <w:bodyDiv w:val="1"/>
      <w:marLeft w:val="0"/>
      <w:marRight w:val="0"/>
      <w:marTop w:val="0"/>
      <w:marBottom w:val="0"/>
      <w:divBdr>
        <w:top w:val="none" w:sz="0" w:space="0" w:color="auto"/>
        <w:left w:val="none" w:sz="0" w:space="0" w:color="auto"/>
        <w:bottom w:val="none" w:sz="0" w:space="0" w:color="auto"/>
        <w:right w:val="none" w:sz="0" w:space="0" w:color="auto"/>
      </w:divBdr>
    </w:div>
    <w:div w:id="1667052161">
      <w:bodyDiv w:val="1"/>
      <w:marLeft w:val="0"/>
      <w:marRight w:val="0"/>
      <w:marTop w:val="0"/>
      <w:marBottom w:val="0"/>
      <w:divBdr>
        <w:top w:val="none" w:sz="0" w:space="0" w:color="auto"/>
        <w:left w:val="none" w:sz="0" w:space="0" w:color="auto"/>
        <w:bottom w:val="none" w:sz="0" w:space="0" w:color="auto"/>
        <w:right w:val="none" w:sz="0" w:space="0" w:color="auto"/>
      </w:divBdr>
    </w:div>
    <w:div w:id="1675646674">
      <w:bodyDiv w:val="1"/>
      <w:marLeft w:val="0"/>
      <w:marRight w:val="0"/>
      <w:marTop w:val="0"/>
      <w:marBottom w:val="0"/>
      <w:divBdr>
        <w:top w:val="none" w:sz="0" w:space="0" w:color="auto"/>
        <w:left w:val="none" w:sz="0" w:space="0" w:color="auto"/>
        <w:bottom w:val="none" w:sz="0" w:space="0" w:color="auto"/>
        <w:right w:val="none" w:sz="0" w:space="0" w:color="auto"/>
      </w:divBdr>
    </w:div>
    <w:div w:id="1692146565">
      <w:bodyDiv w:val="1"/>
      <w:marLeft w:val="0"/>
      <w:marRight w:val="0"/>
      <w:marTop w:val="0"/>
      <w:marBottom w:val="0"/>
      <w:divBdr>
        <w:top w:val="none" w:sz="0" w:space="0" w:color="auto"/>
        <w:left w:val="none" w:sz="0" w:space="0" w:color="auto"/>
        <w:bottom w:val="none" w:sz="0" w:space="0" w:color="auto"/>
        <w:right w:val="none" w:sz="0" w:space="0" w:color="auto"/>
      </w:divBdr>
    </w:div>
    <w:div w:id="1712723106">
      <w:bodyDiv w:val="1"/>
      <w:marLeft w:val="0"/>
      <w:marRight w:val="0"/>
      <w:marTop w:val="0"/>
      <w:marBottom w:val="0"/>
      <w:divBdr>
        <w:top w:val="none" w:sz="0" w:space="0" w:color="auto"/>
        <w:left w:val="none" w:sz="0" w:space="0" w:color="auto"/>
        <w:bottom w:val="none" w:sz="0" w:space="0" w:color="auto"/>
        <w:right w:val="none" w:sz="0" w:space="0" w:color="auto"/>
      </w:divBdr>
    </w:div>
    <w:div w:id="1762264118">
      <w:bodyDiv w:val="1"/>
      <w:marLeft w:val="0"/>
      <w:marRight w:val="0"/>
      <w:marTop w:val="0"/>
      <w:marBottom w:val="0"/>
      <w:divBdr>
        <w:top w:val="none" w:sz="0" w:space="0" w:color="auto"/>
        <w:left w:val="none" w:sz="0" w:space="0" w:color="auto"/>
        <w:bottom w:val="none" w:sz="0" w:space="0" w:color="auto"/>
        <w:right w:val="none" w:sz="0" w:space="0" w:color="auto"/>
      </w:divBdr>
    </w:div>
    <w:div w:id="1762333722">
      <w:bodyDiv w:val="1"/>
      <w:marLeft w:val="0"/>
      <w:marRight w:val="0"/>
      <w:marTop w:val="0"/>
      <w:marBottom w:val="0"/>
      <w:divBdr>
        <w:top w:val="none" w:sz="0" w:space="0" w:color="auto"/>
        <w:left w:val="none" w:sz="0" w:space="0" w:color="auto"/>
        <w:bottom w:val="none" w:sz="0" w:space="0" w:color="auto"/>
        <w:right w:val="none" w:sz="0" w:space="0" w:color="auto"/>
      </w:divBdr>
    </w:div>
    <w:div w:id="1767463282">
      <w:bodyDiv w:val="1"/>
      <w:marLeft w:val="0"/>
      <w:marRight w:val="0"/>
      <w:marTop w:val="0"/>
      <w:marBottom w:val="0"/>
      <w:divBdr>
        <w:top w:val="none" w:sz="0" w:space="0" w:color="auto"/>
        <w:left w:val="none" w:sz="0" w:space="0" w:color="auto"/>
        <w:bottom w:val="none" w:sz="0" w:space="0" w:color="auto"/>
        <w:right w:val="none" w:sz="0" w:space="0" w:color="auto"/>
      </w:divBdr>
    </w:div>
    <w:div w:id="1843662114">
      <w:bodyDiv w:val="1"/>
      <w:marLeft w:val="0"/>
      <w:marRight w:val="0"/>
      <w:marTop w:val="0"/>
      <w:marBottom w:val="0"/>
      <w:divBdr>
        <w:top w:val="none" w:sz="0" w:space="0" w:color="auto"/>
        <w:left w:val="none" w:sz="0" w:space="0" w:color="auto"/>
        <w:bottom w:val="none" w:sz="0" w:space="0" w:color="auto"/>
        <w:right w:val="none" w:sz="0" w:space="0" w:color="auto"/>
      </w:divBdr>
    </w:div>
    <w:div w:id="1913851630">
      <w:bodyDiv w:val="1"/>
      <w:marLeft w:val="0"/>
      <w:marRight w:val="0"/>
      <w:marTop w:val="0"/>
      <w:marBottom w:val="0"/>
      <w:divBdr>
        <w:top w:val="none" w:sz="0" w:space="0" w:color="auto"/>
        <w:left w:val="none" w:sz="0" w:space="0" w:color="auto"/>
        <w:bottom w:val="none" w:sz="0" w:space="0" w:color="auto"/>
        <w:right w:val="none" w:sz="0" w:space="0" w:color="auto"/>
      </w:divBdr>
    </w:div>
    <w:div w:id="2003195023">
      <w:bodyDiv w:val="1"/>
      <w:marLeft w:val="0"/>
      <w:marRight w:val="0"/>
      <w:marTop w:val="0"/>
      <w:marBottom w:val="0"/>
      <w:divBdr>
        <w:top w:val="none" w:sz="0" w:space="0" w:color="auto"/>
        <w:left w:val="none" w:sz="0" w:space="0" w:color="auto"/>
        <w:bottom w:val="none" w:sz="0" w:space="0" w:color="auto"/>
        <w:right w:val="none" w:sz="0" w:space="0" w:color="auto"/>
      </w:divBdr>
    </w:div>
    <w:div w:id="2006130735">
      <w:bodyDiv w:val="1"/>
      <w:marLeft w:val="0"/>
      <w:marRight w:val="0"/>
      <w:marTop w:val="0"/>
      <w:marBottom w:val="0"/>
      <w:divBdr>
        <w:top w:val="none" w:sz="0" w:space="0" w:color="auto"/>
        <w:left w:val="none" w:sz="0" w:space="0" w:color="auto"/>
        <w:bottom w:val="none" w:sz="0" w:space="0" w:color="auto"/>
        <w:right w:val="none" w:sz="0" w:space="0" w:color="auto"/>
      </w:divBdr>
    </w:div>
    <w:div w:id="2016759958">
      <w:bodyDiv w:val="1"/>
      <w:marLeft w:val="0"/>
      <w:marRight w:val="0"/>
      <w:marTop w:val="0"/>
      <w:marBottom w:val="0"/>
      <w:divBdr>
        <w:top w:val="none" w:sz="0" w:space="0" w:color="auto"/>
        <w:left w:val="none" w:sz="0" w:space="0" w:color="auto"/>
        <w:bottom w:val="none" w:sz="0" w:space="0" w:color="auto"/>
        <w:right w:val="none" w:sz="0" w:space="0" w:color="auto"/>
      </w:divBdr>
    </w:div>
    <w:div w:id="2047293311">
      <w:bodyDiv w:val="1"/>
      <w:marLeft w:val="0"/>
      <w:marRight w:val="0"/>
      <w:marTop w:val="0"/>
      <w:marBottom w:val="0"/>
      <w:divBdr>
        <w:top w:val="none" w:sz="0" w:space="0" w:color="auto"/>
        <w:left w:val="none" w:sz="0" w:space="0" w:color="auto"/>
        <w:bottom w:val="none" w:sz="0" w:space="0" w:color="auto"/>
        <w:right w:val="none" w:sz="0" w:space="0" w:color="auto"/>
      </w:divBdr>
    </w:div>
    <w:div w:id="2114861583">
      <w:bodyDiv w:val="1"/>
      <w:marLeft w:val="0"/>
      <w:marRight w:val="0"/>
      <w:marTop w:val="0"/>
      <w:marBottom w:val="0"/>
      <w:divBdr>
        <w:top w:val="none" w:sz="0" w:space="0" w:color="auto"/>
        <w:left w:val="none" w:sz="0" w:space="0" w:color="auto"/>
        <w:bottom w:val="none" w:sz="0" w:space="0" w:color="auto"/>
        <w:right w:val="none" w:sz="0" w:space="0" w:color="auto"/>
      </w:divBdr>
    </w:div>
    <w:div w:id="21448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F1910-2E6F-490B-915E-8AA2C8065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11</Pages>
  <Words>2332</Words>
  <Characters>12832</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INEC Soledad Carvajal</dc:creator>
  <cp:lastModifiedBy>mrobalino</cp:lastModifiedBy>
  <cp:revision>138</cp:revision>
  <cp:lastPrinted>2015-11-13T17:57:00Z</cp:lastPrinted>
  <dcterms:created xsi:type="dcterms:W3CDTF">2015-11-15T10:18:00Z</dcterms:created>
  <dcterms:modified xsi:type="dcterms:W3CDTF">2015-12-01T21:36:00Z</dcterms:modified>
</cp:coreProperties>
</file>